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92CE6" w14:textId="77777777" w:rsidR="00E06974" w:rsidRDefault="008D43BE">
      <w:pPr>
        <w:pStyle w:val="Corpsdetexte"/>
        <w:spacing w:after="0" w:line="276" w:lineRule="auto"/>
        <w:jc w:val="center"/>
        <w:rPr>
          <w:b/>
          <w:bCs/>
        </w:rPr>
      </w:pPr>
      <w:r>
        <w:rPr>
          <w:rFonts w:cstheme="minorHAnsi"/>
          <w:b/>
          <w:bCs/>
        </w:rPr>
        <w:t>Appel à contributions</w:t>
      </w:r>
    </w:p>
    <w:p w14:paraId="61BC5748" w14:textId="0DF159FE" w:rsidR="00E06974" w:rsidRDefault="008D43BE">
      <w:pPr>
        <w:pStyle w:val="Corpsdetexte"/>
        <w:spacing w:after="0" w:line="276" w:lineRule="auto"/>
        <w:jc w:val="center"/>
        <w:rPr>
          <w:b/>
          <w:bCs/>
        </w:rPr>
      </w:pPr>
      <w:r>
        <w:rPr>
          <w:rFonts w:cstheme="minorHAnsi"/>
          <w:b/>
          <w:bCs/>
          <w:i/>
        </w:rPr>
        <w:t>Le Français Aujourd</w:t>
      </w:r>
      <w:r w:rsidR="00E46929">
        <w:rPr>
          <w:rFonts w:cstheme="minorHAnsi"/>
          <w:b/>
          <w:bCs/>
          <w:i/>
        </w:rPr>
        <w:t>’</w:t>
      </w:r>
      <w:r>
        <w:rPr>
          <w:rFonts w:cstheme="minorHAnsi"/>
          <w:b/>
          <w:bCs/>
          <w:i/>
        </w:rPr>
        <w:t>hui</w:t>
      </w:r>
      <w:r>
        <w:rPr>
          <w:rFonts w:cstheme="minorHAnsi"/>
          <w:b/>
          <w:bCs/>
        </w:rPr>
        <w:t xml:space="preserve"> n° 215 (décembre 2021)</w:t>
      </w:r>
    </w:p>
    <w:p w14:paraId="116D5C4C" w14:textId="0D83F224" w:rsidR="00E06974" w:rsidRDefault="008D43BE">
      <w:pPr>
        <w:pStyle w:val="Corpsdetexte"/>
        <w:spacing w:after="0" w:line="276" w:lineRule="auto"/>
        <w:jc w:val="center"/>
        <w:rPr>
          <w:b/>
          <w:bCs/>
        </w:rPr>
      </w:pPr>
      <w:r>
        <w:rPr>
          <w:b/>
          <w:bCs/>
        </w:rPr>
        <w:t>Littérature de jeunesse plurilingue : langue et langages en question dans l</w:t>
      </w:r>
      <w:r w:rsidR="00E46929">
        <w:rPr>
          <w:b/>
          <w:bCs/>
        </w:rPr>
        <w:t>’</w:t>
      </w:r>
      <w:r>
        <w:rPr>
          <w:b/>
          <w:bCs/>
        </w:rPr>
        <w:t>espace classe</w:t>
      </w:r>
    </w:p>
    <w:p w14:paraId="2B7A7BBE" w14:textId="77777777" w:rsidR="00E06974" w:rsidRDefault="008D43BE">
      <w:pPr>
        <w:pStyle w:val="Corpsdetexte"/>
        <w:spacing w:after="0" w:line="276" w:lineRule="auto"/>
        <w:jc w:val="center"/>
        <w:rPr>
          <w:b/>
          <w:bCs/>
        </w:rPr>
      </w:pPr>
      <w:r>
        <w:rPr>
          <w:b/>
          <w:bCs/>
        </w:rPr>
        <w:t>Coordination Véronique Bourhis et Lydie Laroque</w:t>
      </w:r>
    </w:p>
    <w:p w14:paraId="14EA0157" w14:textId="77777777" w:rsidR="00E06974" w:rsidRDefault="008D43BE">
      <w:pPr>
        <w:pStyle w:val="Corpsdetexte"/>
        <w:spacing w:after="0" w:line="276" w:lineRule="auto"/>
        <w:jc w:val="center"/>
      </w:pPr>
      <w:r>
        <w:rPr>
          <w:b/>
          <w:bCs/>
          <w:color w:val="000000"/>
        </w:rPr>
        <w:t xml:space="preserve"> CY Cergy-Paris Université</w:t>
      </w:r>
    </w:p>
    <w:p w14:paraId="70422DDC" w14:textId="35F202F7" w:rsidR="00E06974" w:rsidRDefault="008D43BE">
      <w:pPr>
        <w:pStyle w:val="Corpsdetexte"/>
        <w:spacing w:after="0" w:line="276" w:lineRule="auto"/>
        <w:jc w:val="center"/>
      </w:pPr>
      <w:r>
        <w:rPr>
          <w:b/>
          <w:bCs/>
        </w:rPr>
        <w:t>INSPÉ de l</w:t>
      </w:r>
      <w:r w:rsidR="00E46929">
        <w:rPr>
          <w:b/>
          <w:bCs/>
        </w:rPr>
        <w:t>’</w:t>
      </w:r>
      <w:r>
        <w:rPr>
          <w:b/>
          <w:bCs/>
        </w:rPr>
        <w:t>académie de Versailles,</w:t>
      </w:r>
    </w:p>
    <w:p w14:paraId="35E64729" w14:textId="77777777" w:rsidR="00E06974" w:rsidRDefault="008D43BE">
      <w:pPr>
        <w:pStyle w:val="Corpsdetexte"/>
        <w:spacing w:after="0" w:line="276" w:lineRule="auto"/>
        <w:jc w:val="center"/>
        <w:rPr>
          <w:b/>
          <w:bCs/>
        </w:rPr>
      </w:pPr>
      <w:r>
        <w:rPr>
          <w:b/>
          <w:bCs/>
        </w:rPr>
        <w:t xml:space="preserve">laboratoire </w:t>
      </w:r>
      <w:bookmarkStart w:id="0" w:name="__DdeLink__193_1215391308"/>
      <w:r>
        <w:rPr>
          <w:b/>
          <w:bCs/>
        </w:rPr>
        <w:t>É</w:t>
      </w:r>
      <w:bookmarkEnd w:id="0"/>
      <w:r>
        <w:rPr>
          <w:b/>
          <w:bCs/>
        </w:rPr>
        <w:t>.M.A., EA 4507</w:t>
      </w:r>
    </w:p>
    <w:p w14:paraId="5E44BBA5" w14:textId="77777777" w:rsidR="00E06974" w:rsidRDefault="00E06974">
      <w:pPr>
        <w:pStyle w:val="Corpsdetexte"/>
        <w:spacing w:after="0" w:line="276" w:lineRule="auto"/>
      </w:pPr>
    </w:p>
    <w:p w14:paraId="0DDF9B49" w14:textId="5B2587EA" w:rsidR="00E06974" w:rsidRDefault="008D43BE">
      <w:pPr>
        <w:pStyle w:val="Corpsdetexte"/>
        <w:spacing w:after="0" w:line="276" w:lineRule="auto"/>
        <w:jc w:val="both"/>
      </w:pPr>
      <w:r>
        <w:rPr>
          <w:rFonts w:cstheme="minorHAnsi"/>
        </w:rPr>
        <w:t>En ce début de 21</w:t>
      </w:r>
      <w:r>
        <w:rPr>
          <w:rStyle w:val="Marquedecommentaire1"/>
          <w:rFonts w:eastAsia="LHFLTV+MetaNormalLF-Roman"/>
          <w:color w:val="000000"/>
          <w:vertAlign w:val="superscript"/>
          <w:lang w:val="fr-FR"/>
        </w:rPr>
        <w:t xml:space="preserve">e </w:t>
      </w:r>
      <w:r>
        <w:rPr>
          <w:rFonts w:cstheme="minorHAnsi"/>
        </w:rPr>
        <w:t>siècle, la question du plurilinguisme est une question vive lorsque l</w:t>
      </w:r>
      <w:r w:rsidR="00E46929">
        <w:rPr>
          <w:rFonts w:cstheme="minorHAnsi"/>
        </w:rPr>
        <w:t>’</w:t>
      </w:r>
      <w:r>
        <w:rPr>
          <w:rFonts w:cstheme="minorHAnsi"/>
        </w:rPr>
        <w:t>on s</w:t>
      </w:r>
      <w:r w:rsidR="00E46929">
        <w:rPr>
          <w:rFonts w:cstheme="minorHAnsi"/>
        </w:rPr>
        <w:t>’</w:t>
      </w:r>
      <w:r>
        <w:rPr>
          <w:rFonts w:cstheme="minorHAnsi"/>
        </w:rPr>
        <w:t xml:space="preserve">intéresse à la forme scolaire et à ses mutations. Plusieurs précédents numéros du </w:t>
      </w:r>
      <w:r>
        <w:rPr>
          <w:rFonts w:cstheme="minorHAnsi"/>
          <w:i/>
        </w:rPr>
        <w:t>Français aujourd</w:t>
      </w:r>
      <w:r w:rsidR="00E46929">
        <w:rPr>
          <w:rFonts w:cstheme="minorHAnsi"/>
          <w:i/>
        </w:rPr>
        <w:t>’</w:t>
      </w:r>
      <w:r>
        <w:rPr>
          <w:rFonts w:cstheme="minorHAnsi"/>
          <w:i/>
        </w:rPr>
        <w:t>hui </w:t>
      </w:r>
      <w:r>
        <w:rPr>
          <w:rFonts w:cstheme="minorHAnsi"/>
        </w:rPr>
        <w:t>(</w:t>
      </w:r>
      <w:r>
        <w:rPr>
          <w:rFonts w:cstheme="minorHAnsi"/>
          <w:i/>
        </w:rPr>
        <w:t>Les langues des élèves</w:t>
      </w:r>
      <w:r>
        <w:rPr>
          <w:rFonts w:cstheme="minorHAnsi"/>
        </w:rPr>
        <w:t xml:space="preserve"> 2003/4 (n° 143), </w:t>
      </w:r>
      <w:r>
        <w:rPr>
          <w:rFonts w:cstheme="minorHAnsi"/>
          <w:i/>
        </w:rPr>
        <w:t>Langue(s) et intégration scolaire</w:t>
      </w:r>
      <w:r>
        <w:rPr>
          <w:rFonts w:cstheme="minorHAnsi"/>
        </w:rPr>
        <w:t xml:space="preserve"> 2009/1 (n° 164), </w:t>
      </w:r>
      <w:r>
        <w:rPr>
          <w:rFonts w:cstheme="minorHAnsi"/>
          <w:i/>
        </w:rPr>
        <w:t>FLM, FLE, FLS, au-delà des catégories</w:t>
      </w:r>
      <w:r>
        <w:rPr>
          <w:rFonts w:cstheme="minorHAnsi"/>
        </w:rPr>
        <w:t xml:space="preserve"> 2012/1 (n° 176) par exemple) ont fait écho à la question foncière de la diversité. </w:t>
      </w:r>
      <w:r>
        <w:rPr>
          <w:rFonts w:cstheme="minorHAnsi"/>
          <w:bCs/>
          <w:color w:val="000000"/>
        </w:rPr>
        <w:t xml:space="preserve">Un des points de départ de ces recherches est </w:t>
      </w:r>
      <w:r>
        <w:rPr>
          <w:rFonts w:cstheme="minorHAnsi"/>
        </w:rPr>
        <w:t>la réalité des difficultés, voire des discriminations, qui touchent en milieu scolaire les jeunes issus de l</w:t>
      </w:r>
      <w:r w:rsidR="00E46929">
        <w:rPr>
          <w:rFonts w:cstheme="minorHAnsi"/>
        </w:rPr>
        <w:t>’</w:t>
      </w:r>
      <w:r>
        <w:rPr>
          <w:rFonts w:cstheme="minorHAnsi"/>
        </w:rPr>
        <w:t xml:space="preserve">immigration ou de milieux éloignés de la forme scolaire. </w:t>
      </w:r>
    </w:p>
    <w:p w14:paraId="5654FA0A" w14:textId="76FEEB97" w:rsidR="00E06974" w:rsidRDefault="008D43BE">
      <w:pPr>
        <w:pStyle w:val="Corpsdetexte"/>
        <w:spacing w:after="0" w:line="276" w:lineRule="auto"/>
        <w:jc w:val="both"/>
      </w:pPr>
      <w:r>
        <w:rPr>
          <w:rFonts w:cstheme="minorHAnsi"/>
        </w:rPr>
        <w:t>De ce point de vue, l</w:t>
      </w:r>
      <w:r w:rsidR="00E46929">
        <w:rPr>
          <w:rFonts w:cstheme="minorHAnsi"/>
        </w:rPr>
        <w:t>’</w:t>
      </w:r>
      <w:r>
        <w:rPr>
          <w:rFonts w:cstheme="minorHAnsi"/>
        </w:rPr>
        <w:t>École a pour objet de combler l</w:t>
      </w:r>
      <w:r w:rsidR="00E46929">
        <w:rPr>
          <w:rFonts w:cstheme="minorHAnsi"/>
        </w:rPr>
        <w:t>’</w:t>
      </w:r>
      <w:r>
        <w:rPr>
          <w:rFonts w:cstheme="minorHAnsi"/>
        </w:rPr>
        <w:t>écart entre des enfants dont la culture d</w:t>
      </w:r>
      <w:r w:rsidR="00E46929">
        <w:rPr>
          <w:rFonts w:cstheme="minorHAnsi"/>
        </w:rPr>
        <w:t>’</w:t>
      </w:r>
      <w:r>
        <w:rPr>
          <w:rFonts w:cstheme="minorHAnsi"/>
        </w:rPr>
        <w:t>origine est différente de celle véhiculée par l</w:t>
      </w:r>
      <w:r w:rsidR="00E46929">
        <w:rPr>
          <w:rFonts w:cstheme="minorHAnsi"/>
        </w:rPr>
        <w:t>’</w:t>
      </w:r>
      <w:r>
        <w:rPr>
          <w:rFonts w:cstheme="minorHAnsi"/>
        </w:rPr>
        <w:t>école. Le rapport de l</w:t>
      </w:r>
      <w:r w:rsidR="00E46929">
        <w:rPr>
          <w:rFonts w:cstheme="minorHAnsi"/>
        </w:rPr>
        <w:t>’</w:t>
      </w:r>
      <w:r>
        <w:rPr>
          <w:rFonts w:cstheme="minorHAnsi"/>
        </w:rPr>
        <w:t xml:space="preserve">Union Européenne, </w:t>
      </w:r>
      <w:r>
        <w:rPr>
          <w:rFonts w:cstheme="minorHAnsi"/>
          <w:i/>
        </w:rPr>
        <w:t xml:space="preserve">High </w:t>
      </w:r>
      <w:proofErr w:type="spellStart"/>
      <w:r>
        <w:rPr>
          <w:rFonts w:cstheme="minorHAnsi"/>
          <w:i/>
        </w:rPr>
        <w:t>Level</w:t>
      </w:r>
      <w:proofErr w:type="spellEnd"/>
      <w:r>
        <w:rPr>
          <w:rFonts w:cstheme="minorHAnsi"/>
          <w:i/>
        </w:rPr>
        <w:t xml:space="preserve"> Group of Experts on </w:t>
      </w:r>
      <w:proofErr w:type="spellStart"/>
      <w:r>
        <w:rPr>
          <w:rFonts w:cstheme="minorHAnsi"/>
          <w:i/>
        </w:rPr>
        <w:t>Literacy</w:t>
      </w:r>
      <w:proofErr w:type="spellEnd"/>
      <w:r>
        <w:rPr>
          <w:rFonts w:cstheme="minorHAnsi"/>
        </w:rPr>
        <w:t xml:space="preserve"> (2012), précise que l</w:t>
      </w:r>
      <w:r w:rsidR="00E46929">
        <w:rPr>
          <w:rFonts w:cstheme="minorHAnsi"/>
        </w:rPr>
        <w:t>’</w:t>
      </w:r>
      <w:r>
        <w:rPr>
          <w:rFonts w:cstheme="minorHAnsi"/>
        </w:rPr>
        <w:t>école du 21</w:t>
      </w:r>
      <w:r>
        <w:rPr>
          <w:rStyle w:val="Marquedecommentaire1"/>
          <w:rFonts w:eastAsia="LHFLTV+MetaNormalLF-Roman"/>
          <w:color w:val="000000"/>
          <w:vertAlign w:val="superscript"/>
          <w:lang w:val="fr-FR"/>
        </w:rPr>
        <w:t xml:space="preserve">e </w:t>
      </w:r>
      <w:r>
        <w:rPr>
          <w:rFonts w:cstheme="minorHAnsi"/>
        </w:rPr>
        <w:t>siècle doit offrir des</w:t>
      </w:r>
      <w:r>
        <w:rPr>
          <w:rFonts w:cstheme="minorHAnsi"/>
          <w:highlight w:val="white"/>
        </w:rPr>
        <w:t xml:space="preserve"> contextes d</w:t>
      </w:r>
      <w:r w:rsidR="00E46929">
        <w:rPr>
          <w:rFonts w:cstheme="minorHAnsi"/>
          <w:highlight w:val="white"/>
        </w:rPr>
        <w:t>’</w:t>
      </w:r>
      <w:r>
        <w:rPr>
          <w:rFonts w:cstheme="minorHAnsi"/>
          <w:highlight w:val="white"/>
        </w:rPr>
        <w:t xml:space="preserve">apprentissage riches et variés qui encouragent et favorisent des pratiques </w:t>
      </w:r>
      <w:r>
        <w:rPr>
          <w:rFonts w:cstheme="minorHAnsi"/>
          <w:color w:val="000000" w:themeColor="text1"/>
          <w:highlight w:val="white"/>
        </w:rPr>
        <w:t>pédagogiques permettant, à leur tour, l</w:t>
      </w:r>
      <w:r w:rsidR="00E46929">
        <w:rPr>
          <w:rFonts w:cstheme="minorHAnsi"/>
          <w:color w:val="000000" w:themeColor="text1"/>
          <w:highlight w:val="white"/>
        </w:rPr>
        <w:t>’</w:t>
      </w:r>
      <w:r>
        <w:rPr>
          <w:rFonts w:cstheme="minorHAnsi"/>
          <w:color w:val="000000" w:themeColor="text1"/>
          <w:highlight w:val="white"/>
        </w:rPr>
        <w:t>acquisition d</w:t>
      </w:r>
      <w:r w:rsidR="00E46929">
        <w:rPr>
          <w:rFonts w:cstheme="minorHAnsi"/>
          <w:color w:val="000000" w:themeColor="text1"/>
          <w:highlight w:val="white"/>
        </w:rPr>
        <w:t>’</w:t>
      </w:r>
      <w:r>
        <w:rPr>
          <w:rFonts w:cstheme="minorHAnsi"/>
          <w:color w:val="000000" w:themeColor="text1"/>
          <w:highlight w:val="white"/>
        </w:rPr>
        <w:t xml:space="preserve">habiletés complexes impliquées dans le développement de la littéracie. </w:t>
      </w:r>
    </w:p>
    <w:p w14:paraId="15092628" w14:textId="09B96892" w:rsidR="00E06974" w:rsidRDefault="008D43BE">
      <w:pPr>
        <w:pStyle w:val="Corpsdetexte"/>
        <w:spacing w:after="0" w:line="276" w:lineRule="auto"/>
        <w:jc w:val="both"/>
        <w:rPr>
          <w:highlight w:val="yellow"/>
        </w:rPr>
      </w:pPr>
      <w:r>
        <w:rPr>
          <w:highlight w:val="white"/>
        </w:rPr>
        <w:t>Le numéro se propose d</w:t>
      </w:r>
      <w:r w:rsidR="00E46929">
        <w:rPr>
          <w:highlight w:val="white"/>
        </w:rPr>
        <w:t>’</w:t>
      </w:r>
      <w:r>
        <w:rPr>
          <w:highlight w:val="white"/>
        </w:rPr>
        <w:t xml:space="preserve">aborder cette thématique en interrogeant la littérature de jeunesse plurilingue </w:t>
      </w:r>
      <w:r>
        <w:rPr>
          <w:color w:val="000000"/>
          <w:highlight w:val="white"/>
        </w:rPr>
        <w:t>dans ses différents aspects, particulièrement</w:t>
      </w:r>
      <w:r>
        <w:rPr>
          <w:color w:val="FF0000"/>
          <w:highlight w:val="white"/>
        </w:rPr>
        <w:t xml:space="preserve"> </w:t>
      </w:r>
      <w:r>
        <w:rPr>
          <w:highlight w:val="white"/>
        </w:rPr>
        <w:t xml:space="preserve">en ses rapports avec la maitrise de la / </w:t>
      </w:r>
      <w:r>
        <w:rPr>
          <w:color w:val="000000"/>
          <w:highlight w:val="white"/>
        </w:rPr>
        <w:t>des langue(s)</w:t>
      </w:r>
      <w:r>
        <w:rPr>
          <w:highlight w:val="white"/>
        </w:rPr>
        <w:t xml:space="preserve"> et des langages, de l</w:t>
      </w:r>
      <w:r w:rsidR="00E46929">
        <w:rPr>
          <w:highlight w:val="white"/>
        </w:rPr>
        <w:t>’</w:t>
      </w:r>
      <w:r>
        <w:rPr>
          <w:highlight w:val="white"/>
        </w:rPr>
        <w:t>école maternelle à l</w:t>
      </w:r>
      <w:r w:rsidR="00E46929">
        <w:rPr>
          <w:highlight w:val="white"/>
        </w:rPr>
        <w:t>’</w:t>
      </w:r>
      <w:r>
        <w:rPr>
          <w:highlight w:val="white"/>
        </w:rPr>
        <w:t>université : quelle peut être la place du texte plurilingue dans l</w:t>
      </w:r>
      <w:r w:rsidR="00E46929">
        <w:rPr>
          <w:highlight w:val="white"/>
        </w:rPr>
        <w:t>’</w:t>
      </w:r>
      <w:r>
        <w:rPr>
          <w:highlight w:val="white"/>
        </w:rPr>
        <w:t>enseignement/apprentissage de la lecture-écriture ? Quels liens avec les dimensions linguistique</w:t>
      </w:r>
      <w:r>
        <w:rPr>
          <w:color w:val="000000"/>
          <w:highlight w:val="white"/>
        </w:rPr>
        <w:t>s,</w:t>
      </w:r>
      <w:r>
        <w:rPr>
          <w:highlight w:val="white"/>
        </w:rPr>
        <w:t xml:space="preserve"> langagières, </w:t>
      </w:r>
      <w:r>
        <w:rPr>
          <w:color w:val="000000"/>
          <w:highlight w:val="white"/>
        </w:rPr>
        <w:t>que l</w:t>
      </w:r>
      <w:r w:rsidR="00E46929">
        <w:rPr>
          <w:color w:val="000000"/>
          <w:highlight w:val="white"/>
        </w:rPr>
        <w:t>’</w:t>
      </w:r>
      <w:r>
        <w:rPr>
          <w:color w:val="000000"/>
          <w:highlight w:val="white"/>
        </w:rPr>
        <w:t>on considère la langue maternelle, la langue de scolarisation ou la langue étrangère ? Quelle place à</w:t>
      </w:r>
      <w:r>
        <w:rPr>
          <w:color w:val="FF0000"/>
          <w:highlight w:val="white"/>
        </w:rPr>
        <w:t xml:space="preserve"> </w:t>
      </w:r>
      <w:r>
        <w:rPr>
          <w:highlight w:val="white"/>
        </w:rPr>
        <w:t>la réception des textes, à la dimension personnelle et subjective de la lecture (Rouxel et Langlade, 2004), au sujet lecteur (</w:t>
      </w:r>
      <w:proofErr w:type="spellStart"/>
      <w:r>
        <w:rPr>
          <w:highlight w:val="white"/>
        </w:rPr>
        <w:t>A</w:t>
      </w:r>
      <w:r w:rsidR="00E46929">
        <w:rPr>
          <w:highlight w:val="white"/>
        </w:rPr>
        <w:t>hr</w:t>
      </w:r>
      <w:proofErr w:type="spellEnd"/>
      <w:r>
        <w:rPr>
          <w:highlight w:val="white"/>
        </w:rPr>
        <w:t xml:space="preserve"> et </w:t>
      </w:r>
      <w:proofErr w:type="spellStart"/>
      <w:r>
        <w:rPr>
          <w:highlight w:val="white"/>
        </w:rPr>
        <w:t>Butlen</w:t>
      </w:r>
      <w:proofErr w:type="spellEnd"/>
      <w:r>
        <w:rPr>
          <w:highlight w:val="white"/>
        </w:rPr>
        <w:t xml:space="preserve"> 2012 ; </w:t>
      </w:r>
      <w:proofErr w:type="spellStart"/>
      <w:r>
        <w:rPr>
          <w:highlight w:val="white"/>
        </w:rPr>
        <w:t>A</w:t>
      </w:r>
      <w:r w:rsidR="00E46929">
        <w:rPr>
          <w:highlight w:val="white"/>
        </w:rPr>
        <w:t>hr</w:t>
      </w:r>
      <w:proofErr w:type="spellEnd"/>
      <w:r>
        <w:rPr>
          <w:highlight w:val="white"/>
        </w:rPr>
        <w:t xml:space="preserve"> et </w:t>
      </w:r>
      <w:proofErr w:type="spellStart"/>
      <w:r>
        <w:rPr>
          <w:highlight w:val="white"/>
        </w:rPr>
        <w:t>Joole</w:t>
      </w:r>
      <w:proofErr w:type="spellEnd"/>
      <w:r>
        <w:rPr>
          <w:highlight w:val="white"/>
        </w:rPr>
        <w:t xml:space="preserve"> 2013)</w:t>
      </w:r>
      <w:r>
        <w:rPr>
          <w:color w:val="000000"/>
          <w:highlight w:val="white"/>
        </w:rPr>
        <w:t> ?</w:t>
      </w:r>
    </w:p>
    <w:p w14:paraId="1B097BD0" w14:textId="46ABD3CB" w:rsidR="00E06974" w:rsidRDefault="008D43BE">
      <w:pPr>
        <w:pStyle w:val="Corpsdetexte"/>
        <w:spacing w:after="0" w:line="276" w:lineRule="auto"/>
        <w:jc w:val="both"/>
      </w:pPr>
      <w:r>
        <w:t>Concernant la littérature, le plurilinguisme est souvent abordé sous l</w:t>
      </w:r>
      <w:r w:rsidR="00E46929">
        <w:t>’</w:t>
      </w:r>
      <w:r>
        <w:t>angle identitaire de l</w:t>
      </w:r>
      <w:r w:rsidR="00E46929">
        <w:t>’</w:t>
      </w:r>
      <w:r>
        <w:t>écriture, et l</w:t>
      </w:r>
      <w:r w:rsidR="00E46929">
        <w:t>’</w:t>
      </w:r>
      <w:r>
        <w:t>hybridité linguistique est étudiée au prisme de la subjectivité ou de la conscience linguistique (</w:t>
      </w:r>
      <w:proofErr w:type="spellStart"/>
      <w:r>
        <w:t>Sciarrino</w:t>
      </w:r>
      <w:proofErr w:type="spellEnd"/>
      <w:r>
        <w:t xml:space="preserve"> 2016). Une autre manière d</w:t>
      </w:r>
      <w:r w:rsidR="00E46929">
        <w:t>’</w:t>
      </w:r>
      <w:r>
        <w:t>envisager la littérature plurilingue est celle de l</w:t>
      </w:r>
      <w:r w:rsidR="00E46929">
        <w:t>’</w:t>
      </w:r>
      <w:r>
        <w:t>apprentissage d</w:t>
      </w:r>
      <w:r w:rsidR="00E46929">
        <w:t>’</w:t>
      </w:r>
      <w:r>
        <w:t>une langue étrangère (</w:t>
      </w:r>
      <w:proofErr w:type="spellStart"/>
      <w:r>
        <w:t>Bemporad</w:t>
      </w:r>
      <w:proofErr w:type="spellEnd"/>
      <w:r>
        <w:t xml:space="preserve"> et </w:t>
      </w:r>
      <w:proofErr w:type="spellStart"/>
      <w:r>
        <w:t>Ristea</w:t>
      </w:r>
      <w:proofErr w:type="spellEnd"/>
      <w:r>
        <w:t xml:space="preserve"> 2014).</w:t>
      </w:r>
      <w:r>
        <w:rPr>
          <w:rFonts w:asciiTheme="minorHAnsi" w:hAnsiTheme="minorHAnsi" w:cstheme="minorHAnsi"/>
        </w:rPr>
        <w:t xml:space="preserve"> </w:t>
      </w:r>
      <w:r>
        <w:t>Que fait-on en classe lorsque l</w:t>
      </w:r>
      <w:r w:rsidR="00E46929">
        <w:t>’</w:t>
      </w:r>
      <w:r>
        <w:t>œuvre quitte le cadre de la langue première ?</w:t>
      </w:r>
    </w:p>
    <w:p w14:paraId="55DFA5A4" w14:textId="499CF565" w:rsidR="00E06974" w:rsidRDefault="008D43BE">
      <w:pPr>
        <w:pStyle w:val="Corpsdetexte"/>
        <w:spacing w:after="0" w:line="276" w:lineRule="auto"/>
        <w:jc w:val="both"/>
      </w:pPr>
      <w:r>
        <w:t>S</w:t>
      </w:r>
      <w:r w:rsidR="00E46929">
        <w:t>’</w:t>
      </w:r>
      <w:r>
        <w:t>agit-il d</w:t>
      </w:r>
      <w:r w:rsidR="00E46929">
        <w:t>’</w:t>
      </w:r>
      <w:r>
        <w:t xml:space="preserve">une invitation à une lecture polyglotte </w:t>
      </w:r>
      <w:r>
        <w:rPr>
          <w:color w:val="000000"/>
        </w:rPr>
        <w:t>singulière</w:t>
      </w:r>
      <w:r>
        <w:t>, globalisée</w:t>
      </w:r>
      <w:r>
        <w:rPr>
          <w:color w:val="000000"/>
        </w:rPr>
        <w:t> ?</w:t>
      </w:r>
      <w:r>
        <w:t xml:space="preserve"> S</w:t>
      </w:r>
      <w:r w:rsidR="00E46929">
        <w:t>’</w:t>
      </w:r>
      <w:r>
        <w:t>agit-il d</w:t>
      </w:r>
      <w:r w:rsidR="00E46929">
        <w:t>’</w:t>
      </w:r>
      <w:r>
        <w:t>une tentative d</w:t>
      </w:r>
      <w:r w:rsidR="00E46929">
        <w:t>’</w:t>
      </w:r>
      <w:r>
        <w:t xml:space="preserve">établir une littérature universelle, translinguistique ? La littérature plurilingue peut-elle enrichir les ressources sémantiques des lecteurs et de quelle manière ? Ou affiche-t-elle, au contraire, un </w:t>
      </w:r>
      <w:r>
        <w:rPr>
          <w:color w:val="000000"/>
        </w:rPr>
        <w:t>obstacle à la</w:t>
      </w:r>
      <w:r>
        <w:rPr>
          <w:color w:val="FF0000"/>
        </w:rPr>
        <w:t xml:space="preserve"> </w:t>
      </w:r>
      <w:r>
        <w:t xml:space="preserve">communication ? </w:t>
      </w:r>
      <w:r>
        <w:rPr>
          <w:color w:val="000000"/>
        </w:rPr>
        <w:t>Et s</w:t>
      </w:r>
      <w:r w:rsidR="00E46929">
        <w:rPr>
          <w:color w:val="000000"/>
        </w:rPr>
        <w:t>’</w:t>
      </w:r>
      <w:r>
        <w:t>agit-il de textes qui pointent plutôt la conscience identitaire du lecteur, et dans quels buts ?</w:t>
      </w:r>
    </w:p>
    <w:p w14:paraId="7FE25E90" w14:textId="3CD21DB2" w:rsidR="00E06974" w:rsidRDefault="008D43BE">
      <w:pPr>
        <w:pStyle w:val="Corpsdetexte"/>
        <w:spacing w:after="0" w:line="276" w:lineRule="auto"/>
        <w:jc w:val="both"/>
        <w:rPr>
          <w:color w:val="000000"/>
        </w:rPr>
      </w:pPr>
      <w:r>
        <w:rPr>
          <w:rFonts w:cstheme="minorHAnsi"/>
          <w:color w:val="000000"/>
        </w:rPr>
        <w:t>Et qu</w:t>
      </w:r>
      <w:r w:rsidR="00E46929">
        <w:rPr>
          <w:rFonts w:cstheme="minorHAnsi"/>
          <w:color w:val="000000"/>
        </w:rPr>
        <w:t>’</w:t>
      </w:r>
      <w:r>
        <w:rPr>
          <w:rFonts w:cstheme="minorHAnsi"/>
          <w:color w:val="000000"/>
        </w:rPr>
        <w:t>en est-il des listes officielles dans l</w:t>
      </w:r>
      <w:r w:rsidR="00E46929">
        <w:rPr>
          <w:rFonts w:cstheme="minorHAnsi"/>
          <w:color w:val="000000"/>
        </w:rPr>
        <w:t>’</w:t>
      </w:r>
      <w:r>
        <w:rPr>
          <w:rFonts w:cstheme="minorHAnsi"/>
          <w:color w:val="000000"/>
        </w:rPr>
        <w:t>espace scolaire ? Le plurilinguisme est une préoccupation de l</w:t>
      </w:r>
      <w:r w:rsidR="00E46929">
        <w:rPr>
          <w:rFonts w:cstheme="minorHAnsi"/>
          <w:color w:val="000000"/>
        </w:rPr>
        <w:t>’</w:t>
      </w:r>
      <w:r>
        <w:rPr>
          <w:rFonts w:cstheme="minorHAnsi"/>
          <w:color w:val="000000"/>
        </w:rPr>
        <w:t>école et du collège dès les années 1970, pour intégrer au mieux dans la société française les enfants de migrants, mais on peut se demander si le public concerné par son enseignement et si ses enjeux restent les mêmes aujourd</w:t>
      </w:r>
      <w:r w:rsidR="00E46929">
        <w:rPr>
          <w:rFonts w:cstheme="minorHAnsi"/>
          <w:color w:val="000000"/>
        </w:rPr>
        <w:t>’</w:t>
      </w:r>
      <w:r>
        <w:rPr>
          <w:rFonts w:cstheme="minorHAnsi"/>
          <w:color w:val="000000"/>
        </w:rPr>
        <w:t>hui.</w:t>
      </w:r>
    </w:p>
    <w:p w14:paraId="2A52C049" w14:textId="324EEAC5" w:rsidR="00E06974" w:rsidRDefault="008D43BE">
      <w:pPr>
        <w:pStyle w:val="Corpsdetexte"/>
        <w:spacing w:after="0" w:line="276" w:lineRule="auto"/>
        <w:jc w:val="both"/>
      </w:pPr>
      <w:r>
        <w:rPr>
          <w:rFonts w:cstheme="minorHAnsi"/>
        </w:rPr>
        <w:t>À l</w:t>
      </w:r>
      <w:r w:rsidR="00E46929">
        <w:rPr>
          <w:rFonts w:cstheme="minorHAnsi"/>
        </w:rPr>
        <w:t>’</w:t>
      </w:r>
      <w:r>
        <w:rPr>
          <w:rFonts w:cstheme="minorHAnsi"/>
        </w:rPr>
        <w:t>heure où « </w:t>
      </w:r>
      <w:r>
        <w:rPr>
          <w:rFonts w:cstheme="minorHAnsi"/>
          <w:color w:val="111111"/>
          <w:shd w:val="clear" w:color="auto" w:fill="FFFFFF"/>
        </w:rPr>
        <w:t>le discours postmoderne transforme l</w:t>
      </w:r>
      <w:r w:rsidR="00E46929">
        <w:rPr>
          <w:rFonts w:cstheme="minorHAnsi"/>
          <w:color w:val="111111"/>
          <w:shd w:val="clear" w:color="auto" w:fill="FFFFFF"/>
        </w:rPr>
        <w:t>’</w:t>
      </w:r>
      <w:r>
        <w:rPr>
          <w:rFonts w:cstheme="minorHAnsi"/>
          <w:color w:val="111111"/>
          <w:shd w:val="clear" w:color="auto" w:fill="FFFFFF"/>
        </w:rPr>
        <w:t>ensemble des phénomènes sociaux et culturels en nuages de matière langagière » et où « les mondes de la fiction cessent d</w:t>
      </w:r>
      <w:r w:rsidR="00E46929">
        <w:rPr>
          <w:rFonts w:cstheme="minorHAnsi"/>
          <w:color w:val="111111"/>
          <w:shd w:val="clear" w:color="auto" w:fill="FFFFFF"/>
        </w:rPr>
        <w:t>’</w:t>
      </w:r>
      <w:r>
        <w:rPr>
          <w:rFonts w:cstheme="minorHAnsi"/>
          <w:color w:val="111111"/>
          <w:shd w:val="clear" w:color="auto" w:fill="FFFFFF"/>
        </w:rPr>
        <w:t>être des univers stables pour céder la place à des assemblages composites » (Wit 2017), à l</w:t>
      </w:r>
      <w:r w:rsidR="00E46929">
        <w:rPr>
          <w:rFonts w:cstheme="minorHAnsi"/>
          <w:color w:val="111111"/>
          <w:shd w:val="clear" w:color="auto" w:fill="FFFFFF"/>
        </w:rPr>
        <w:t>’</w:t>
      </w:r>
      <w:r>
        <w:rPr>
          <w:rFonts w:cstheme="minorHAnsi"/>
          <w:color w:val="111111"/>
          <w:shd w:val="clear" w:color="auto" w:fill="FFFFFF"/>
        </w:rPr>
        <w:t xml:space="preserve">heure également </w:t>
      </w:r>
      <w:r>
        <w:rPr>
          <w:rFonts w:cstheme="minorHAnsi"/>
        </w:rPr>
        <w:t>d</w:t>
      </w:r>
      <w:r w:rsidR="00E46929">
        <w:rPr>
          <w:rFonts w:cstheme="minorHAnsi"/>
        </w:rPr>
        <w:t>’</w:t>
      </w:r>
      <w:r>
        <w:rPr>
          <w:rFonts w:cstheme="minorHAnsi"/>
        </w:rPr>
        <w:t xml:space="preserve">une ouverture </w:t>
      </w:r>
      <w:r>
        <w:rPr>
          <w:rFonts w:cstheme="minorHAnsi"/>
        </w:rPr>
        <w:lastRenderedPageBreak/>
        <w:t>des textes institutionnels au plurilinguisme (</w:t>
      </w:r>
      <w:r>
        <w:rPr>
          <w:rFonts w:cstheme="minorHAnsi"/>
          <w:i/>
          <w:iCs/>
        </w:rPr>
        <w:t>Bulletin officiel</w:t>
      </w:r>
      <w:r>
        <w:rPr>
          <w:rFonts w:cstheme="minorHAnsi"/>
        </w:rPr>
        <w:t xml:space="preserve"> 2015, cycle 2 et 3 de l</w:t>
      </w:r>
      <w:r w:rsidR="00E46929">
        <w:rPr>
          <w:rFonts w:cstheme="minorHAnsi"/>
        </w:rPr>
        <w:t>’</w:t>
      </w:r>
      <w:r>
        <w:rPr>
          <w:rFonts w:cstheme="minorHAnsi"/>
        </w:rPr>
        <w:t>école primaire), nous invitons à proposer des articles qui pourront s</w:t>
      </w:r>
      <w:r w:rsidR="00E46929">
        <w:rPr>
          <w:rFonts w:cstheme="minorHAnsi"/>
        </w:rPr>
        <w:t>’</w:t>
      </w:r>
      <w:r>
        <w:rPr>
          <w:rFonts w:cstheme="minorHAnsi"/>
        </w:rPr>
        <w:t xml:space="preserve">inscrire dans les axes suivants : </w:t>
      </w:r>
    </w:p>
    <w:p w14:paraId="43A781AB" w14:textId="77777777" w:rsidR="00E06974" w:rsidRDefault="00E06974">
      <w:pPr>
        <w:pStyle w:val="Corpsdetexte"/>
        <w:spacing w:after="0" w:line="276" w:lineRule="auto"/>
        <w:jc w:val="both"/>
      </w:pPr>
    </w:p>
    <w:p w14:paraId="0C264C19" w14:textId="77777777" w:rsidR="00E06974" w:rsidRDefault="008D43BE">
      <w:pPr>
        <w:pStyle w:val="Corpsdetexte"/>
        <w:numPr>
          <w:ilvl w:val="0"/>
          <w:numId w:val="1"/>
        </w:numPr>
        <w:spacing w:after="0" w:line="276" w:lineRule="auto"/>
        <w:ind w:left="426" w:hanging="426"/>
        <w:jc w:val="both"/>
        <w:rPr>
          <w:rFonts w:cstheme="minorHAnsi"/>
          <w:b/>
          <w:bCs/>
          <w:color w:val="000000"/>
        </w:rPr>
      </w:pPr>
      <w:r>
        <w:rPr>
          <w:b/>
          <w:bCs/>
          <w:highlight w:val="white"/>
        </w:rPr>
        <w:t>Question de corpus</w:t>
      </w:r>
    </w:p>
    <w:p w14:paraId="34421FCB" w14:textId="360A16A2" w:rsidR="00E06974" w:rsidRDefault="008D43BE">
      <w:pPr>
        <w:pStyle w:val="Corpsdetexte"/>
        <w:spacing w:after="0" w:line="276" w:lineRule="auto"/>
        <w:jc w:val="both"/>
      </w:pPr>
      <w:r>
        <w:rPr>
          <w:color w:val="000000"/>
        </w:rPr>
        <w:t xml:space="preserve">La question des corpus pose </w:t>
      </w:r>
      <w:r>
        <w:rPr>
          <w:rFonts w:cstheme="minorHAnsi"/>
          <w:color w:val="000000"/>
        </w:rPr>
        <w:t>le problème de la définition de la littérature plurilingue et de son évolution. Bien que le phénomène ne soit pas nouveau, puisque le premier livre plurilingue pour enfants, l</w:t>
      </w:r>
      <w:r w:rsidR="00E46929">
        <w:rPr>
          <w:rFonts w:cstheme="minorHAnsi"/>
          <w:color w:val="000000"/>
        </w:rPr>
        <w:t>’</w:t>
      </w:r>
      <w:proofErr w:type="spellStart"/>
      <w:r>
        <w:rPr>
          <w:rFonts w:cstheme="minorHAnsi"/>
          <w:i/>
          <w:iCs/>
          <w:color w:val="000000"/>
        </w:rPr>
        <w:t>Orbis</w:t>
      </w:r>
      <w:proofErr w:type="spellEnd"/>
      <w:r>
        <w:rPr>
          <w:rFonts w:cstheme="minorHAnsi"/>
          <w:i/>
          <w:iCs/>
          <w:color w:val="000000"/>
        </w:rPr>
        <w:t xml:space="preserve"> </w:t>
      </w:r>
      <w:proofErr w:type="spellStart"/>
      <w:r>
        <w:rPr>
          <w:rFonts w:cstheme="minorHAnsi"/>
          <w:i/>
          <w:iCs/>
          <w:color w:val="000000"/>
        </w:rPr>
        <w:t>pictus</w:t>
      </w:r>
      <w:proofErr w:type="spellEnd"/>
      <w:r>
        <w:rPr>
          <w:rFonts w:cstheme="minorHAnsi"/>
          <w:color w:val="000000"/>
        </w:rPr>
        <w:t xml:space="preserve"> de Comenius parait en 1648 en édition bilingue latin-allemand, puis est édité dans toute l</w:t>
      </w:r>
      <w:r w:rsidR="00E46929">
        <w:rPr>
          <w:rFonts w:cstheme="minorHAnsi"/>
          <w:color w:val="000000"/>
        </w:rPr>
        <w:t>’</w:t>
      </w:r>
      <w:r>
        <w:rPr>
          <w:rFonts w:cstheme="minorHAnsi"/>
          <w:color w:val="000000"/>
        </w:rPr>
        <w:t>Europe dès 1760, en latin, français, anglais, italien, on peut s</w:t>
      </w:r>
      <w:r w:rsidR="00E46929">
        <w:rPr>
          <w:rFonts w:cstheme="minorHAnsi"/>
          <w:color w:val="000000"/>
        </w:rPr>
        <w:t>’</w:t>
      </w:r>
      <w:r>
        <w:rPr>
          <w:rFonts w:cstheme="minorHAnsi"/>
          <w:color w:val="000000"/>
        </w:rPr>
        <w:t>interroger sur les conditions d</w:t>
      </w:r>
      <w:r w:rsidR="00E46929">
        <w:rPr>
          <w:rFonts w:cstheme="minorHAnsi"/>
          <w:color w:val="000000"/>
        </w:rPr>
        <w:t>’</w:t>
      </w:r>
      <w:r>
        <w:rPr>
          <w:rFonts w:cstheme="minorHAnsi"/>
          <w:color w:val="000000"/>
        </w:rPr>
        <w:t>émergence et d</w:t>
      </w:r>
      <w:r w:rsidR="00E46929">
        <w:rPr>
          <w:rFonts w:cstheme="minorHAnsi"/>
          <w:color w:val="000000"/>
        </w:rPr>
        <w:t>’</w:t>
      </w:r>
      <w:r>
        <w:rPr>
          <w:rFonts w:cstheme="minorHAnsi"/>
          <w:color w:val="000000"/>
        </w:rPr>
        <w:t>expansion des textes plurilingues. Littérature française, littérature d</w:t>
      </w:r>
      <w:r w:rsidR="00E46929">
        <w:rPr>
          <w:rFonts w:cstheme="minorHAnsi"/>
          <w:color w:val="000000"/>
        </w:rPr>
        <w:t>’</w:t>
      </w:r>
      <w:r>
        <w:rPr>
          <w:rFonts w:cstheme="minorHAnsi"/>
          <w:color w:val="000000"/>
        </w:rPr>
        <w:t>ailleurs ? Quel est le statut des langues et des cultures sollicitées dans cette littérature ?</w:t>
      </w:r>
      <w:r>
        <w:rPr>
          <w:color w:val="000000"/>
        </w:rPr>
        <w:t xml:space="preserve"> Quels choix des œuvres, quels regroupements, et pour quelles visées ? Quels corpus mobiliser et quels sont les critères et les conditions de leur nécessaire </w:t>
      </w:r>
      <w:r>
        <w:rPr>
          <w:color w:val="000000"/>
          <w:highlight w:val="white"/>
        </w:rPr>
        <w:t>renouvèlement</w:t>
      </w:r>
      <w:r>
        <w:rPr>
          <w:color w:val="000000"/>
        </w:rPr>
        <w:t xml:space="preserve"> ? </w:t>
      </w:r>
    </w:p>
    <w:p w14:paraId="67CA77E0" w14:textId="69A3EEEB" w:rsidR="00E06974" w:rsidRDefault="008D43BE">
      <w:pPr>
        <w:pStyle w:val="Corpsdetexte"/>
        <w:spacing w:after="0" w:line="276" w:lineRule="auto"/>
        <w:jc w:val="both"/>
      </w:pPr>
      <w:r>
        <w:t>Cet axe privilégiera les expériences de constitution de corpus dans l</w:t>
      </w:r>
      <w:r w:rsidR="00E46929">
        <w:t>’</w:t>
      </w:r>
      <w:r>
        <w:t>espace scolaire. Qu</w:t>
      </w:r>
      <w:r w:rsidR="00E46929">
        <w:t>’</w:t>
      </w:r>
      <w:r>
        <w:t>entend-on par littérature plurilingue en classe ? Quelles sont ses formes ? Si les maisons d</w:t>
      </w:r>
      <w:r w:rsidR="00E46929">
        <w:t>’</w:t>
      </w:r>
      <w:r>
        <w:t>édition plurilingues sont de plus en plus nombreuses, la présence de livres plurilingues dans les classes est rare</w:t>
      </w:r>
      <w:r>
        <w:rPr>
          <w:color w:val="000000"/>
        </w:rPr>
        <w:t>.</w:t>
      </w:r>
      <w:r>
        <w:rPr>
          <w:color w:val="FF0000"/>
        </w:rPr>
        <w:t xml:space="preserve"> </w:t>
      </w:r>
      <w:r>
        <w:t>Selon la place de la langue, quelle typologie adopter (</w:t>
      </w:r>
      <w:proofErr w:type="spellStart"/>
      <w:r>
        <w:t>Louichon</w:t>
      </w:r>
      <w:proofErr w:type="spellEnd"/>
      <w:r>
        <w:t xml:space="preserve"> et </w:t>
      </w:r>
      <w:proofErr w:type="spellStart"/>
      <w:r>
        <w:t>Rouxel</w:t>
      </w:r>
      <w:proofErr w:type="spellEnd"/>
      <w:r>
        <w:t xml:space="preserve"> 2009) ? </w:t>
      </w:r>
    </w:p>
    <w:p w14:paraId="5D65B101" w14:textId="007CDCBB" w:rsidR="00E06974" w:rsidRDefault="008D43BE">
      <w:pPr>
        <w:pStyle w:val="Corpsdetexte"/>
        <w:spacing w:after="0" w:line="276" w:lineRule="auto"/>
        <w:jc w:val="both"/>
      </w:pPr>
      <w:r>
        <w:t>Quelle élaboration d</w:t>
      </w:r>
      <w:r w:rsidR="00E46929">
        <w:t>’</w:t>
      </w:r>
      <w:r>
        <w:t>un « corpus de formation » pour enseigner avec la littérature plurilingue et dans quel but ? Quelle place pour les différents genres ou formes littéraires : romans, théâtre, poésie, albums ? Quels rapports avec l</w:t>
      </w:r>
      <w:r w:rsidR="00E46929">
        <w:t>’</w:t>
      </w:r>
      <w:proofErr w:type="spellStart"/>
      <w:r>
        <w:t>iconotextualité</w:t>
      </w:r>
      <w:proofErr w:type="spellEnd"/>
      <w:r>
        <w:t xml:space="preserve"> ? </w:t>
      </w:r>
    </w:p>
    <w:p w14:paraId="21444B08" w14:textId="77777777" w:rsidR="00E06974" w:rsidRDefault="00E06974">
      <w:pPr>
        <w:pStyle w:val="Corpsdetexte"/>
        <w:spacing w:after="0" w:line="276" w:lineRule="auto"/>
        <w:jc w:val="both"/>
      </w:pPr>
    </w:p>
    <w:p w14:paraId="53FF3950" w14:textId="35EFC00E" w:rsidR="00E06974" w:rsidRDefault="008D43BE">
      <w:pPr>
        <w:pStyle w:val="Corpsdetexte"/>
        <w:numPr>
          <w:ilvl w:val="0"/>
          <w:numId w:val="1"/>
        </w:numPr>
        <w:spacing w:after="0" w:line="276" w:lineRule="auto"/>
        <w:ind w:left="284" w:hanging="284"/>
        <w:jc w:val="both"/>
        <w:rPr>
          <w:rFonts w:cstheme="minorHAnsi"/>
          <w:b/>
          <w:bCs/>
        </w:rPr>
      </w:pPr>
      <w:r>
        <w:rPr>
          <w:b/>
          <w:bCs/>
          <w:highlight w:val="white"/>
        </w:rPr>
        <w:t>Les pratiques d</w:t>
      </w:r>
      <w:r w:rsidR="00E46929">
        <w:rPr>
          <w:b/>
          <w:bCs/>
          <w:highlight w:val="white"/>
        </w:rPr>
        <w:t>’</w:t>
      </w:r>
      <w:r>
        <w:rPr>
          <w:b/>
          <w:bCs/>
          <w:highlight w:val="white"/>
        </w:rPr>
        <w:t>enseignement / apprentissage</w:t>
      </w:r>
    </w:p>
    <w:p w14:paraId="01468FE0" w14:textId="2D7AF748" w:rsidR="00E06974" w:rsidRDefault="008D43BE">
      <w:pPr>
        <w:pStyle w:val="Corpsdetexte"/>
        <w:spacing w:after="0" w:line="276" w:lineRule="auto"/>
        <w:jc w:val="both"/>
      </w:pPr>
      <w:r>
        <w:rPr>
          <w:rFonts w:cstheme="minorHAnsi"/>
          <w:color w:val="000000"/>
          <w:shd w:val="clear" w:color="auto" w:fill="FFFFFF"/>
        </w:rPr>
        <w:t>Dès l</w:t>
      </w:r>
      <w:r w:rsidR="00E46929">
        <w:rPr>
          <w:rFonts w:cstheme="minorHAnsi"/>
          <w:color w:val="000000"/>
          <w:shd w:val="clear" w:color="auto" w:fill="FFFFFF"/>
        </w:rPr>
        <w:t>’</w:t>
      </w:r>
      <w:r>
        <w:rPr>
          <w:rFonts w:cstheme="minorHAnsi"/>
          <w:color w:val="000000"/>
          <w:shd w:val="clear" w:color="auto" w:fill="FFFFFF"/>
        </w:rPr>
        <w:t>école maternelle, l</w:t>
      </w:r>
      <w:r w:rsidR="00E46929">
        <w:rPr>
          <w:rFonts w:cstheme="minorHAnsi"/>
          <w:color w:val="000000"/>
          <w:shd w:val="clear" w:color="auto" w:fill="FFFFFF"/>
        </w:rPr>
        <w:t>’</w:t>
      </w:r>
      <w:r>
        <w:rPr>
          <w:rFonts w:cstheme="minorHAnsi"/>
          <w:color w:val="000000"/>
          <w:shd w:val="clear" w:color="auto" w:fill="FFFFFF"/>
        </w:rPr>
        <w:t>éveil aux langues peut permettre</w:t>
      </w:r>
      <w:r>
        <w:rPr>
          <w:rFonts w:cstheme="minorHAnsi"/>
          <w:color w:val="FF0000"/>
          <w:shd w:val="clear" w:color="auto" w:fill="FFFFFF"/>
        </w:rPr>
        <w:t xml:space="preserve"> </w:t>
      </w:r>
      <w:r>
        <w:rPr>
          <w:rFonts w:cstheme="minorHAnsi"/>
          <w:color w:val="222222"/>
          <w:shd w:val="clear" w:color="auto" w:fill="FFFFFF"/>
        </w:rPr>
        <w:t>aux élèves de développer des attitudes positives face à la diversité linguistique et culturelle tout en facilitant, en milieu pluriethnique, la reconnaissance et la légitimation des langues maternelles des élèves et de leurs familles</w:t>
      </w:r>
      <w:r>
        <w:rPr>
          <w:rFonts w:cstheme="minorHAnsi"/>
          <w:color w:val="000000"/>
          <w:shd w:val="clear" w:color="auto" w:fill="FFFFFF"/>
        </w:rPr>
        <w:t xml:space="preserve"> (Armand </w:t>
      </w:r>
      <w:r>
        <w:rPr>
          <w:rFonts w:cstheme="minorHAnsi"/>
          <w:i/>
          <w:iCs/>
          <w:color w:val="000000"/>
          <w:shd w:val="clear" w:color="auto" w:fill="FFFFFF"/>
        </w:rPr>
        <w:t>et al</w:t>
      </w:r>
      <w:r>
        <w:rPr>
          <w:rFonts w:cstheme="minorHAnsi"/>
          <w:color w:val="000000"/>
          <w:shd w:val="clear" w:color="auto" w:fill="FFFFFF"/>
        </w:rPr>
        <w:t>. 2012).</w:t>
      </w:r>
    </w:p>
    <w:p w14:paraId="0B0A47BD" w14:textId="4DD50878" w:rsidR="00E06974" w:rsidRDefault="008D43BE">
      <w:pPr>
        <w:pStyle w:val="Corpsdetexte"/>
        <w:spacing w:after="0" w:line="276" w:lineRule="auto"/>
        <w:jc w:val="both"/>
        <w:rPr>
          <w:rFonts w:cstheme="minorHAnsi"/>
        </w:rPr>
      </w:pPr>
      <w:r>
        <w:rPr>
          <w:rFonts w:cstheme="minorHAnsi"/>
        </w:rPr>
        <w:t xml:space="preserve">Nous souhaitons ne pas nous limiter à cet aspect, mais </w:t>
      </w:r>
      <w:r>
        <w:rPr>
          <w:rFonts w:cstheme="minorHAnsi"/>
          <w:color w:val="000000"/>
        </w:rPr>
        <w:t>au contraire</w:t>
      </w:r>
      <w:r>
        <w:rPr>
          <w:rFonts w:cstheme="minorHAnsi"/>
        </w:rPr>
        <w:t xml:space="preserve"> poursuivre cette réflexion en nous centrant sur les savoirs </w:t>
      </w:r>
      <w:r>
        <w:rPr>
          <w:rFonts w:cstheme="minorHAnsi"/>
          <w:color w:val="000000" w:themeColor="text1"/>
        </w:rPr>
        <w:t>linguistiques et langagiers</w:t>
      </w:r>
      <w:r>
        <w:rPr>
          <w:rFonts w:cstheme="minorHAnsi"/>
        </w:rPr>
        <w:t xml:space="preserve"> qui peuvent être construits </w:t>
      </w:r>
      <w:r>
        <w:rPr>
          <w:rFonts w:cstheme="minorHAnsi"/>
          <w:color w:val="000000"/>
        </w:rPr>
        <w:t>dans différentes situations d</w:t>
      </w:r>
      <w:r w:rsidR="00E46929">
        <w:rPr>
          <w:rFonts w:cstheme="minorHAnsi"/>
          <w:color w:val="000000"/>
        </w:rPr>
        <w:t>’</w:t>
      </w:r>
      <w:r>
        <w:rPr>
          <w:rFonts w:cstheme="minorHAnsi"/>
          <w:color w:val="000000"/>
        </w:rPr>
        <w:t>apprentissage, pour des langues de statut différent,</w:t>
      </w:r>
      <w:r>
        <w:rPr>
          <w:rFonts w:cstheme="minorHAnsi"/>
          <w:color w:val="FF0000"/>
        </w:rPr>
        <w:t xml:space="preserve"> </w:t>
      </w:r>
      <w:r>
        <w:rPr>
          <w:rFonts w:cstheme="minorHAnsi"/>
        </w:rPr>
        <w:t>s</w:t>
      </w:r>
      <w:r w:rsidR="00E46929">
        <w:rPr>
          <w:rFonts w:cstheme="minorHAnsi"/>
        </w:rPr>
        <w:t>’</w:t>
      </w:r>
      <w:r>
        <w:rPr>
          <w:rFonts w:cstheme="minorHAnsi"/>
        </w:rPr>
        <w:t>appuyant sur « les ressources linguistiques, culturelles et symboliques que les élèves portent en eux, pour les transformer en des atouts et des leviers d</w:t>
      </w:r>
      <w:r w:rsidR="00E46929">
        <w:rPr>
          <w:rFonts w:cstheme="minorHAnsi"/>
        </w:rPr>
        <w:t>’</w:t>
      </w:r>
      <w:r>
        <w:rPr>
          <w:rFonts w:cstheme="minorHAnsi"/>
        </w:rPr>
        <w:t>apprentissage » (</w:t>
      </w:r>
      <w:proofErr w:type="spellStart"/>
      <w:r>
        <w:rPr>
          <w:rFonts w:cstheme="minorHAnsi"/>
        </w:rPr>
        <w:t>Molinié</w:t>
      </w:r>
      <w:proofErr w:type="spellEnd"/>
      <w:r>
        <w:rPr>
          <w:rFonts w:cstheme="minorHAnsi"/>
        </w:rPr>
        <w:t xml:space="preserve"> et Moore, 2012). Quelles sont les pratiques effectives en classe autour de la littérature plurilingue et pour quels apprentissages ?  </w:t>
      </w:r>
    </w:p>
    <w:p w14:paraId="246EDC74" w14:textId="3111F110" w:rsidR="00E06974" w:rsidRDefault="008D43BE">
      <w:pPr>
        <w:pStyle w:val="Corpsdetexte"/>
        <w:spacing w:after="0" w:line="276" w:lineRule="auto"/>
        <w:jc w:val="both"/>
      </w:pPr>
      <w:r>
        <w:rPr>
          <w:rFonts w:cstheme="minorHAnsi"/>
          <w:color w:val="000000"/>
        </w:rPr>
        <w:t>Nous souhaitons donner une place importante à la didactisation de la littérature plurilingue. L</w:t>
      </w:r>
      <w:r w:rsidR="00E46929">
        <w:rPr>
          <w:rFonts w:cstheme="minorHAnsi"/>
          <w:color w:val="000000"/>
        </w:rPr>
        <w:t>’</w:t>
      </w:r>
      <w:r>
        <w:rPr>
          <w:rFonts w:cstheme="minorHAnsi"/>
          <w:color w:val="000000"/>
        </w:rPr>
        <w:t>analyse de pratiques effectives, des apprentissages et des savoirs linguistiques et langagiers qu</w:t>
      </w:r>
      <w:r w:rsidR="00E46929">
        <w:rPr>
          <w:rFonts w:cstheme="minorHAnsi"/>
          <w:color w:val="000000"/>
        </w:rPr>
        <w:t>’</w:t>
      </w:r>
      <w:r>
        <w:rPr>
          <w:rFonts w:cstheme="minorHAnsi"/>
          <w:color w:val="000000"/>
        </w:rPr>
        <w:t xml:space="preserve">elles engendrent sera centrale. </w:t>
      </w:r>
      <w:r>
        <w:t>Nous privilégierons les propositions articulant une réflexion sur des enjeux théoriques et une analyse de données issues du terrain.</w:t>
      </w:r>
    </w:p>
    <w:p w14:paraId="4C0C155C" w14:textId="77777777" w:rsidR="00E06974" w:rsidRDefault="008D43BE">
      <w:pPr>
        <w:pStyle w:val="Corpsdetexte"/>
        <w:spacing w:after="0" w:line="276" w:lineRule="auto"/>
        <w:jc w:val="both"/>
        <w:rPr>
          <w:rFonts w:asciiTheme="minorHAnsi" w:hAnsiTheme="minorHAnsi" w:cstheme="minorHAnsi"/>
        </w:rPr>
      </w:pPr>
      <w:r>
        <w:t xml:space="preserve">La problématique de la traduction, transversale aux trois axes, pourra donc être abordée dans différentes perspectives. </w:t>
      </w:r>
    </w:p>
    <w:p w14:paraId="069C49FF" w14:textId="77777777" w:rsidR="00E06974" w:rsidRDefault="00E06974">
      <w:pPr>
        <w:pStyle w:val="Corpsdetexte"/>
        <w:spacing w:after="0" w:line="276" w:lineRule="auto"/>
        <w:jc w:val="both"/>
      </w:pPr>
    </w:p>
    <w:p w14:paraId="34CF7615" w14:textId="77777777" w:rsidR="00E06974" w:rsidRDefault="008D43BE">
      <w:pPr>
        <w:pStyle w:val="Corpsdetexte"/>
        <w:spacing w:after="0" w:line="276" w:lineRule="auto"/>
        <w:jc w:val="both"/>
        <w:rPr>
          <w:b/>
          <w:bCs/>
        </w:rPr>
      </w:pPr>
      <w:r>
        <w:rPr>
          <w:b/>
          <w:bCs/>
        </w:rPr>
        <w:t>Références bibliographiques</w:t>
      </w:r>
    </w:p>
    <w:p w14:paraId="15F1D12F" w14:textId="77777777" w:rsidR="00E06974" w:rsidRDefault="00E06974">
      <w:pPr>
        <w:pStyle w:val="Corpsdetexte"/>
        <w:spacing w:after="0" w:line="276" w:lineRule="auto"/>
        <w:jc w:val="both"/>
      </w:pPr>
    </w:p>
    <w:p w14:paraId="78F2AB79" w14:textId="470FFFB8" w:rsidR="00E06974" w:rsidRDefault="008D43BE">
      <w:pPr>
        <w:pStyle w:val="Corpsdetexte"/>
        <w:spacing w:after="0" w:line="276" w:lineRule="auto"/>
        <w:jc w:val="both"/>
      </w:pPr>
      <w:r>
        <w:rPr>
          <w:rFonts w:cstheme="minorHAnsi"/>
          <w:i/>
        </w:rPr>
        <w:t>Le Français aujourd</w:t>
      </w:r>
      <w:r w:rsidR="00E46929">
        <w:rPr>
          <w:rFonts w:cstheme="minorHAnsi"/>
          <w:i/>
        </w:rPr>
        <w:t>’</w:t>
      </w:r>
      <w:r>
        <w:rPr>
          <w:rFonts w:cstheme="minorHAnsi"/>
          <w:i/>
        </w:rPr>
        <w:t>hui</w:t>
      </w:r>
      <w:r>
        <w:rPr>
          <w:rFonts w:cstheme="minorHAnsi"/>
        </w:rPr>
        <w:t xml:space="preserve"> n° 143, </w:t>
      </w:r>
      <w:r>
        <w:rPr>
          <w:rFonts w:cstheme="minorHAnsi"/>
          <w:i/>
        </w:rPr>
        <w:t>Les langues des élèves</w:t>
      </w:r>
      <w:r>
        <w:rPr>
          <w:rFonts w:cstheme="minorHAnsi"/>
        </w:rPr>
        <w:t xml:space="preserve">, 2003/4. </w:t>
      </w:r>
    </w:p>
    <w:p w14:paraId="10A93207" w14:textId="573A2104" w:rsidR="00E06974" w:rsidRDefault="008D43BE">
      <w:pPr>
        <w:pStyle w:val="Corpsdetexte"/>
        <w:spacing w:after="0" w:line="276" w:lineRule="auto"/>
        <w:jc w:val="both"/>
      </w:pPr>
      <w:r>
        <w:rPr>
          <w:rFonts w:cstheme="minorHAnsi"/>
          <w:i/>
        </w:rPr>
        <w:t>Le Français aujourd</w:t>
      </w:r>
      <w:r w:rsidR="00E46929">
        <w:rPr>
          <w:rFonts w:cstheme="minorHAnsi"/>
          <w:i/>
        </w:rPr>
        <w:t>’</w:t>
      </w:r>
      <w:r>
        <w:rPr>
          <w:rFonts w:cstheme="minorHAnsi"/>
          <w:i/>
        </w:rPr>
        <w:t xml:space="preserve">hui </w:t>
      </w:r>
      <w:r>
        <w:rPr>
          <w:rFonts w:cstheme="minorHAnsi"/>
        </w:rPr>
        <w:t>n° 164</w:t>
      </w:r>
      <w:r>
        <w:rPr>
          <w:rFonts w:cstheme="minorHAnsi"/>
          <w:i/>
        </w:rPr>
        <w:t>, Langue(s) et intégration scolaire</w:t>
      </w:r>
      <w:r>
        <w:rPr>
          <w:rFonts w:cstheme="minorHAnsi"/>
        </w:rPr>
        <w:t xml:space="preserve">, 2009/1. </w:t>
      </w:r>
    </w:p>
    <w:p w14:paraId="45F0EDC4" w14:textId="78240FD7" w:rsidR="00E06974" w:rsidRDefault="008D43BE">
      <w:pPr>
        <w:pStyle w:val="Corpsdetexte"/>
        <w:spacing w:after="0" w:line="276" w:lineRule="auto"/>
        <w:jc w:val="both"/>
      </w:pPr>
      <w:r>
        <w:rPr>
          <w:rFonts w:cstheme="minorHAnsi"/>
          <w:i/>
        </w:rPr>
        <w:t>Le Français aujourd</w:t>
      </w:r>
      <w:r w:rsidR="00E46929">
        <w:rPr>
          <w:rFonts w:cstheme="minorHAnsi"/>
          <w:i/>
        </w:rPr>
        <w:t>’</w:t>
      </w:r>
      <w:r>
        <w:rPr>
          <w:rFonts w:cstheme="minorHAnsi"/>
          <w:i/>
        </w:rPr>
        <w:t xml:space="preserve">hui </w:t>
      </w:r>
      <w:r>
        <w:rPr>
          <w:rFonts w:cstheme="minorHAnsi"/>
        </w:rPr>
        <w:t>n° 176</w:t>
      </w:r>
      <w:r>
        <w:rPr>
          <w:rFonts w:cstheme="minorHAnsi"/>
          <w:i/>
        </w:rPr>
        <w:t>, FLM, FLE, FLS, au-delà des catégories</w:t>
      </w:r>
      <w:r>
        <w:rPr>
          <w:rFonts w:cstheme="minorHAnsi"/>
        </w:rPr>
        <w:t xml:space="preserve">, 2012/1. </w:t>
      </w:r>
    </w:p>
    <w:p w14:paraId="46DE4D06" w14:textId="77777777" w:rsidR="00E06974" w:rsidRDefault="008D43BE">
      <w:pPr>
        <w:pStyle w:val="Corpsdetexte"/>
        <w:spacing w:after="0" w:line="276" w:lineRule="auto"/>
        <w:jc w:val="both"/>
        <w:rPr>
          <w:lang w:val="en-US"/>
        </w:rPr>
      </w:pPr>
      <w:r>
        <w:rPr>
          <w:rFonts w:cstheme="minorHAnsi"/>
          <w:i/>
          <w:lang w:val="en-US"/>
        </w:rPr>
        <w:t xml:space="preserve">EU High Level Group of Experts on </w:t>
      </w:r>
      <w:proofErr w:type="gramStart"/>
      <w:r>
        <w:rPr>
          <w:rFonts w:cstheme="minorHAnsi"/>
          <w:i/>
          <w:lang w:val="en-US"/>
        </w:rPr>
        <w:t>Literacy :</w:t>
      </w:r>
      <w:proofErr w:type="gramEnd"/>
      <w:r>
        <w:rPr>
          <w:rFonts w:cstheme="minorHAnsi"/>
          <w:i/>
          <w:lang w:val="en-US"/>
        </w:rPr>
        <w:t xml:space="preserve"> final report</w:t>
      </w:r>
      <w:r>
        <w:rPr>
          <w:rFonts w:cstheme="minorHAnsi"/>
          <w:lang w:val="en-US"/>
        </w:rPr>
        <w:t xml:space="preserve"> (2012)</w:t>
      </w:r>
      <w:r>
        <w:rPr>
          <w:rFonts w:cstheme="minorHAnsi"/>
          <w:bCs/>
          <w:color w:val="333333"/>
          <w:lang w:val="en-US"/>
        </w:rPr>
        <w:t>, European Commission.</w:t>
      </w:r>
      <w:r>
        <w:rPr>
          <w:rFonts w:cstheme="minorHAnsi"/>
          <w:bCs/>
          <w:color w:val="000000" w:themeColor="text1"/>
          <w:lang w:val="en-US"/>
        </w:rPr>
        <w:t xml:space="preserve"> </w:t>
      </w:r>
    </w:p>
    <w:p w14:paraId="593DAA55" w14:textId="2C4FA190" w:rsidR="00E06974" w:rsidRDefault="008D43BE">
      <w:pPr>
        <w:pStyle w:val="Corpsdetexte"/>
        <w:spacing w:after="0" w:line="276" w:lineRule="auto"/>
        <w:jc w:val="both"/>
      </w:pPr>
      <w:proofErr w:type="spellStart"/>
      <w:r>
        <w:rPr>
          <w:rFonts w:cstheme="minorHAnsi"/>
          <w:color w:val="000000" w:themeColor="text1"/>
        </w:rPr>
        <w:lastRenderedPageBreak/>
        <w:t>A</w:t>
      </w:r>
      <w:r w:rsidR="00E46929">
        <w:rPr>
          <w:rFonts w:cstheme="minorHAnsi"/>
          <w:color w:val="000000" w:themeColor="text1"/>
        </w:rPr>
        <w:t>hr</w:t>
      </w:r>
      <w:proofErr w:type="spellEnd"/>
      <w:r>
        <w:rPr>
          <w:rFonts w:cstheme="minorHAnsi"/>
          <w:color w:val="000000" w:themeColor="text1"/>
        </w:rPr>
        <w:t xml:space="preserve">, S. &amp; </w:t>
      </w:r>
      <w:proofErr w:type="spellStart"/>
      <w:r>
        <w:rPr>
          <w:rFonts w:cstheme="minorHAnsi"/>
          <w:color w:val="000000" w:themeColor="text1"/>
        </w:rPr>
        <w:t>Butlen</w:t>
      </w:r>
      <w:proofErr w:type="spellEnd"/>
      <w:r>
        <w:rPr>
          <w:rFonts w:cstheme="minorHAnsi"/>
          <w:color w:val="000000" w:themeColor="text1"/>
        </w:rPr>
        <w:t xml:space="preserve"> M. (2012). </w:t>
      </w:r>
      <w:r>
        <w:rPr>
          <w:rFonts w:cstheme="minorHAnsi"/>
          <w:bCs/>
          <w:color w:val="000000" w:themeColor="text1"/>
        </w:rPr>
        <w:t xml:space="preserve">Savoir lire/aimer lire : un couple en évolution ou en voie de séparation ? </w:t>
      </w:r>
      <w:r>
        <w:rPr>
          <w:rFonts w:cstheme="minorHAnsi"/>
          <w:bCs/>
          <w:i/>
          <w:iCs/>
          <w:color w:val="000000" w:themeColor="text1"/>
        </w:rPr>
        <w:t>É</w:t>
      </w:r>
      <w:r>
        <w:rPr>
          <w:rFonts w:cstheme="minorHAnsi"/>
          <w:bCs/>
          <w:i/>
          <w:color w:val="000000" w:themeColor="text1"/>
        </w:rPr>
        <w:t>tudes de linguistique appliquée</w:t>
      </w:r>
      <w:r>
        <w:rPr>
          <w:rFonts w:cstheme="minorHAnsi"/>
          <w:bCs/>
          <w:color w:val="000000" w:themeColor="text1"/>
        </w:rPr>
        <w:t xml:space="preserve">, </w:t>
      </w:r>
      <w:r>
        <w:rPr>
          <w:rFonts w:cstheme="minorHAnsi"/>
          <w:bCs/>
          <w:i/>
          <w:iCs/>
          <w:color w:val="000000" w:themeColor="text1"/>
        </w:rPr>
        <w:t>166</w:t>
      </w:r>
      <w:r>
        <w:rPr>
          <w:rFonts w:cstheme="minorHAnsi"/>
          <w:bCs/>
          <w:color w:val="000000" w:themeColor="text1"/>
        </w:rPr>
        <w:t xml:space="preserve">, </w:t>
      </w:r>
      <w:r>
        <w:rPr>
          <w:rStyle w:val="in-revue"/>
          <w:rFonts w:cstheme="minorHAnsi"/>
          <w:color w:val="000000" w:themeColor="text1"/>
        </w:rPr>
        <w:t>215-235.</w:t>
      </w:r>
    </w:p>
    <w:p w14:paraId="2DBC5FD6" w14:textId="4105CCE9" w:rsidR="00E06974" w:rsidRDefault="008D43BE">
      <w:pPr>
        <w:pStyle w:val="Corpsdetexte"/>
        <w:spacing w:after="0" w:line="276" w:lineRule="auto"/>
        <w:jc w:val="both"/>
      </w:pPr>
      <w:proofErr w:type="spellStart"/>
      <w:r>
        <w:rPr>
          <w:rFonts w:cstheme="minorHAnsi"/>
          <w:color w:val="000000" w:themeColor="text1"/>
        </w:rPr>
        <w:t>A</w:t>
      </w:r>
      <w:r w:rsidR="00E46929">
        <w:rPr>
          <w:rFonts w:cstheme="minorHAnsi"/>
          <w:color w:val="000000" w:themeColor="text1"/>
        </w:rPr>
        <w:t>hr</w:t>
      </w:r>
      <w:proofErr w:type="spellEnd"/>
      <w:r>
        <w:rPr>
          <w:rFonts w:cstheme="minorHAnsi"/>
          <w:color w:val="000000" w:themeColor="text1"/>
        </w:rPr>
        <w:t xml:space="preserve">, S. &amp; </w:t>
      </w:r>
      <w:proofErr w:type="spellStart"/>
      <w:r>
        <w:rPr>
          <w:rFonts w:cstheme="minorHAnsi"/>
          <w:color w:val="000000" w:themeColor="text1"/>
        </w:rPr>
        <w:t>Joole</w:t>
      </w:r>
      <w:proofErr w:type="spellEnd"/>
      <w:r>
        <w:rPr>
          <w:rFonts w:cstheme="minorHAnsi"/>
          <w:color w:val="000000" w:themeColor="text1"/>
        </w:rPr>
        <w:t xml:space="preserve">, P. (2013). </w:t>
      </w:r>
      <w:r>
        <w:rPr>
          <w:rFonts w:cstheme="minorHAnsi"/>
          <w:bCs/>
          <w:color w:val="000000" w:themeColor="text1"/>
          <w:lang w:val="fr-FR"/>
        </w:rPr>
        <w:t xml:space="preserve">Transmission et expérience esthétique dans les premier et second degrés. </w:t>
      </w:r>
      <w:r>
        <w:rPr>
          <w:rFonts w:cstheme="minorHAnsi"/>
          <w:i/>
          <w:color w:val="000000" w:themeColor="text1"/>
        </w:rPr>
        <w:t>Recherche et travaux</w:t>
      </w:r>
      <w:r>
        <w:rPr>
          <w:rFonts w:cstheme="minorHAnsi"/>
          <w:color w:val="000000" w:themeColor="text1"/>
        </w:rPr>
        <w:t xml:space="preserve">, </w:t>
      </w:r>
      <w:r>
        <w:rPr>
          <w:rFonts w:cstheme="minorHAnsi"/>
          <w:i/>
          <w:iCs/>
          <w:color w:val="000000" w:themeColor="text1"/>
        </w:rPr>
        <w:t>83</w:t>
      </w:r>
      <w:r>
        <w:rPr>
          <w:rFonts w:cstheme="minorHAnsi"/>
          <w:color w:val="000000" w:themeColor="text1"/>
        </w:rPr>
        <w:t>, 133-145</w:t>
      </w:r>
    </w:p>
    <w:p w14:paraId="2EB5703B" w14:textId="77777777" w:rsidR="00E06974" w:rsidRDefault="008D43BE">
      <w:pPr>
        <w:pStyle w:val="Corpsdetexte"/>
        <w:spacing w:after="0" w:line="276" w:lineRule="auto"/>
        <w:jc w:val="both"/>
      </w:pPr>
      <w:r>
        <w:rPr>
          <w:rStyle w:val="txbib-authors-surname-nocase"/>
          <w:rFonts w:cstheme="minorHAnsi"/>
          <w:color w:val="222222"/>
        </w:rPr>
        <w:t>Armand,</w:t>
      </w:r>
      <w:r>
        <w:rPr>
          <w:rFonts w:cstheme="minorHAnsi"/>
          <w:color w:val="222222"/>
        </w:rPr>
        <w:t> </w:t>
      </w:r>
      <w:r>
        <w:rPr>
          <w:rStyle w:val="txbib-authors-forename"/>
          <w:rFonts w:cstheme="minorHAnsi"/>
          <w:color w:val="222222"/>
        </w:rPr>
        <w:t xml:space="preserve">F. </w:t>
      </w:r>
      <w:r>
        <w:rPr>
          <w:rFonts w:cstheme="minorHAnsi"/>
          <w:color w:val="222222"/>
        </w:rPr>
        <w:t>(2012). Enseigner en milieu pluriethnique et plurilingue : place aux pratiques innovantes</w:t>
      </w:r>
      <w:r>
        <w:rPr>
          <w:rFonts w:cstheme="minorHAnsi"/>
          <w:color w:val="222222"/>
          <w:shd w:val="clear" w:color="auto" w:fill="FFFFFF"/>
        </w:rPr>
        <w:t>.</w:t>
      </w:r>
      <w:r>
        <w:rPr>
          <w:rFonts w:cstheme="minorHAnsi"/>
          <w:color w:val="222222"/>
        </w:rPr>
        <w:t xml:space="preserve"> </w:t>
      </w:r>
      <w:r>
        <w:rPr>
          <w:rFonts w:cstheme="minorHAnsi"/>
          <w:i/>
          <w:iCs/>
          <w:color w:val="222222"/>
        </w:rPr>
        <w:t>Québec français</w:t>
      </w:r>
      <w:r>
        <w:rPr>
          <w:rFonts w:cstheme="minorHAnsi"/>
          <w:color w:val="222222"/>
        </w:rPr>
        <w:t xml:space="preserve">, </w:t>
      </w:r>
      <w:r>
        <w:rPr>
          <w:rStyle w:val="txbib-volume"/>
          <w:rFonts w:cstheme="minorHAnsi"/>
          <w:i/>
          <w:iCs/>
          <w:color w:val="222222"/>
          <w:shd w:val="clear" w:color="auto" w:fill="FFFFFF"/>
        </w:rPr>
        <w:t>167</w:t>
      </w:r>
      <w:r>
        <w:rPr>
          <w:rFonts w:cstheme="minorHAnsi"/>
          <w:color w:val="222222"/>
          <w:shd w:val="clear" w:color="auto" w:fill="FFFFFF"/>
        </w:rPr>
        <w:t>, 48-50. </w:t>
      </w:r>
    </w:p>
    <w:p w14:paraId="019F58F6" w14:textId="7C382AAD" w:rsidR="00E06974" w:rsidRDefault="008D43BE">
      <w:pPr>
        <w:pStyle w:val="Corpsdetexte"/>
        <w:spacing w:after="0" w:line="276" w:lineRule="auto"/>
        <w:jc w:val="both"/>
      </w:pPr>
      <w:proofErr w:type="spellStart"/>
      <w:r>
        <w:rPr>
          <w:rFonts w:cstheme="minorHAnsi"/>
        </w:rPr>
        <w:t>Bemporad</w:t>
      </w:r>
      <w:proofErr w:type="spellEnd"/>
      <w:r>
        <w:rPr>
          <w:rFonts w:cstheme="minorHAnsi"/>
        </w:rPr>
        <w:t xml:space="preserve">, C. &amp; </w:t>
      </w:r>
      <w:proofErr w:type="spellStart"/>
      <w:r>
        <w:rPr>
          <w:rFonts w:cstheme="minorHAnsi"/>
        </w:rPr>
        <w:t>Ristea</w:t>
      </w:r>
      <w:proofErr w:type="spellEnd"/>
      <w:r>
        <w:rPr>
          <w:rFonts w:cstheme="minorHAnsi"/>
        </w:rPr>
        <w:t xml:space="preserve">, P. (2014). Appropriation des littératies en français : quelles ressources mobiliser ? Dans J.-F. de Pietro &amp; M. </w:t>
      </w:r>
      <w:proofErr w:type="spellStart"/>
      <w:r>
        <w:rPr>
          <w:rFonts w:cstheme="minorHAnsi"/>
        </w:rPr>
        <w:t>Rispail</w:t>
      </w:r>
      <w:proofErr w:type="spellEnd"/>
      <w:r>
        <w:rPr>
          <w:rFonts w:cstheme="minorHAnsi"/>
        </w:rPr>
        <w:t xml:space="preserve"> (</w:t>
      </w:r>
      <w:proofErr w:type="spellStart"/>
      <w:r>
        <w:rPr>
          <w:rFonts w:cstheme="minorHAnsi"/>
        </w:rPr>
        <w:t>dir</w:t>
      </w:r>
      <w:proofErr w:type="spellEnd"/>
      <w:r>
        <w:rPr>
          <w:rFonts w:cstheme="minorHAnsi"/>
        </w:rPr>
        <w:t xml:space="preserve">.), </w:t>
      </w:r>
      <w:r>
        <w:rPr>
          <w:rFonts w:cstheme="minorHAnsi"/>
          <w:i/>
        </w:rPr>
        <w:t>L</w:t>
      </w:r>
      <w:r w:rsidR="00E46929">
        <w:rPr>
          <w:rFonts w:cstheme="minorHAnsi"/>
          <w:i/>
        </w:rPr>
        <w:t>’</w:t>
      </w:r>
      <w:r>
        <w:rPr>
          <w:rFonts w:cstheme="minorHAnsi"/>
          <w:i/>
        </w:rPr>
        <w:t>Enseignement du français à l</w:t>
      </w:r>
      <w:r w:rsidR="00E46929">
        <w:rPr>
          <w:rFonts w:cstheme="minorHAnsi"/>
          <w:i/>
        </w:rPr>
        <w:t>’</w:t>
      </w:r>
      <w:r>
        <w:rPr>
          <w:rFonts w:cstheme="minorHAnsi"/>
          <w:i/>
        </w:rPr>
        <w:t>heure du plurilinguisme. Vers une didactique contextualisée</w:t>
      </w:r>
      <w:r>
        <w:rPr>
          <w:rFonts w:cstheme="minorHAnsi"/>
        </w:rPr>
        <w:t xml:space="preserve"> (pp. 263-274).</w:t>
      </w:r>
      <w:r>
        <w:rPr>
          <w:rFonts w:cstheme="minorHAnsi"/>
          <w:i/>
        </w:rPr>
        <w:t xml:space="preserve"> </w:t>
      </w:r>
      <w:r>
        <w:rPr>
          <w:rFonts w:cstheme="minorHAnsi"/>
        </w:rPr>
        <w:t>Namur : Presses universitaires de Namur.</w:t>
      </w:r>
    </w:p>
    <w:p w14:paraId="59247A75" w14:textId="77777777" w:rsidR="00E06974" w:rsidRDefault="008D43BE">
      <w:pPr>
        <w:pStyle w:val="Corpsdetexte"/>
        <w:spacing w:after="0" w:line="276" w:lineRule="auto"/>
        <w:jc w:val="both"/>
      </w:pPr>
      <w:r>
        <w:rPr>
          <w:rFonts w:cstheme="minorHAnsi"/>
          <w:color w:val="000000" w:themeColor="text1"/>
        </w:rPr>
        <w:t>Langlade, G. &amp; Rouxel. A. (</w:t>
      </w:r>
      <w:proofErr w:type="spellStart"/>
      <w:r>
        <w:rPr>
          <w:rFonts w:cstheme="minorHAnsi"/>
          <w:color w:val="000000" w:themeColor="text1"/>
        </w:rPr>
        <w:t>dir</w:t>
      </w:r>
      <w:proofErr w:type="spellEnd"/>
      <w:r>
        <w:rPr>
          <w:rFonts w:cstheme="minorHAnsi"/>
          <w:color w:val="000000" w:themeColor="text1"/>
        </w:rPr>
        <w:t>.) (2004</w:t>
      </w:r>
      <w:r>
        <w:rPr>
          <w:rFonts w:cstheme="minorHAnsi"/>
        </w:rPr>
        <w:t xml:space="preserve">). </w:t>
      </w:r>
      <w:r>
        <w:rPr>
          <w:rStyle w:val="Accentuation"/>
          <w:rFonts w:cstheme="minorHAnsi"/>
          <w:bCs/>
          <w:color w:val="000000"/>
          <w:shd w:val="clear" w:color="auto" w:fill="FFFFFF"/>
        </w:rPr>
        <w:t xml:space="preserve">Le Sujet lecteur. Lecture subjective et enseignement de </w:t>
      </w:r>
      <w:r>
        <w:rPr>
          <w:rStyle w:val="Accentuation"/>
          <w:rFonts w:cstheme="minorHAnsi"/>
          <w:bCs/>
          <w:color w:val="000000" w:themeColor="text1"/>
          <w:shd w:val="clear" w:color="auto" w:fill="FFFFFF"/>
        </w:rPr>
        <w:t>la littérature</w:t>
      </w:r>
      <w:r>
        <w:rPr>
          <w:rFonts w:cstheme="minorHAnsi"/>
          <w:bCs/>
          <w:color w:val="000000" w:themeColor="text1"/>
          <w:shd w:val="clear" w:color="auto" w:fill="FFFFFF"/>
        </w:rPr>
        <w:t>. Rennes : Presses universitaires de Rennes, coll. « </w:t>
      </w:r>
      <w:proofErr w:type="spellStart"/>
      <w:r>
        <w:rPr>
          <w:rFonts w:cstheme="minorHAnsi"/>
          <w:bCs/>
          <w:color w:val="000000" w:themeColor="text1"/>
          <w:shd w:val="clear" w:color="auto" w:fill="FFFFFF"/>
        </w:rPr>
        <w:t>Didact</w:t>
      </w:r>
      <w:proofErr w:type="spellEnd"/>
      <w:r>
        <w:rPr>
          <w:rFonts w:cstheme="minorHAnsi"/>
          <w:bCs/>
          <w:color w:val="000000" w:themeColor="text1"/>
          <w:shd w:val="clear" w:color="auto" w:fill="FFFFFF"/>
        </w:rPr>
        <w:t xml:space="preserve"> Français ».</w:t>
      </w:r>
    </w:p>
    <w:p w14:paraId="677AB0F8" w14:textId="77777777" w:rsidR="00E06974" w:rsidRDefault="008D43BE">
      <w:pPr>
        <w:pStyle w:val="Corpsdetexte"/>
        <w:spacing w:after="0" w:line="276" w:lineRule="auto"/>
        <w:jc w:val="both"/>
      </w:pPr>
      <w:proofErr w:type="spellStart"/>
      <w:r>
        <w:rPr>
          <w:rFonts w:cstheme="minorHAnsi"/>
        </w:rPr>
        <w:t>Louichon</w:t>
      </w:r>
      <w:proofErr w:type="spellEnd"/>
      <w:r>
        <w:rPr>
          <w:rFonts w:cstheme="minorHAnsi"/>
        </w:rPr>
        <w:t xml:space="preserve">, B. &amp; Rouxel, A. (2009). </w:t>
      </w:r>
      <w:r>
        <w:rPr>
          <w:rStyle w:val="Accentuation"/>
          <w:rFonts w:cstheme="minorHAnsi"/>
          <w:color w:val="000000"/>
        </w:rPr>
        <w:t>Du corpus solaire à la bibliothèque intérieure</w:t>
      </w:r>
      <w:r>
        <w:rPr>
          <w:rStyle w:val="lev"/>
          <w:rFonts w:cstheme="minorHAnsi"/>
          <w:b w:val="0"/>
          <w:bCs w:val="0"/>
          <w:color w:val="000000"/>
        </w:rPr>
        <w:t>.</w:t>
      </w:r>
      <w:r>
        <w:rPr>
          <w:rFonts w:cstheme="minorHAnsi"/>
          <w:color w:val="000000"/>
        </w:rPr>
        <w:t xml:space="preserve"> Rennes : Presses universitaires de Rennes, coll. « </w:t>
      </w:r>
      <w:proofErr w:type="spellStart"/>
      <w:r>
        <w:rPr>
          <w:rFonts w:cstheme="minorHAnsi"/>
          <w:color w:val="000000"/>
        </w:rPr>
        <w:t>Païdea</w:t>
      </w:r>
      <w:proofErr w:type="spellEnd"/>
      <w:r>
        <w:rPr>
          <w:rFonts w:cstheme="minorHAnsi"/>
          <w:color w:val="000000"/>
        </w:rPr>
        <w:t> ». </w:t>
      </w:r>
    </w:p>
    <w:p w14:paraId="68E416EC" w14:textId="133CC5C1" w:rsidR="00E06974" w:rsidRDefault="008D43BE">
      <w:pPr>
        <w:pStyle w:val="Corpsdetexte"/>
        <w:spacing w:after="0" w:line="276" w:lineRule="auto"/>
        <w:jc w:val="both"/>
      </w:pPr>
      <w:proofErr w:type="spellStart"/>
      <w:r>
        <w:rPr>
          <w:rFonts w:cstheme="minorHAnsi"/>
          <w:color w:val="000000" w:themeColor="text1"/>
        </w:rPr>
        <w:t>Molinié</w:t>
      </w:r>
      <w:proofErr w:type="spellEnd"/>
      <w:r>
        <w:rPr>
          <w:rFonts w:cstheme="minorHAnsi"/>
          <w:color w:val="000000" w:themeColor="text1"/>
        </w:rPr>
        <w:t>, M., &amp; Moore D. (</w:t>
      </w:r>
      <w:proofErr w:type="spellStart"/>
      <w:r>
        <w:rPr>
          <w:rFonts w:cstheme="minorHAnsi"/>
          <w:color w:val="000000" w:themeColor="text1"/>
        </w:rPr>
        <w:t>dir</w:t>
      </w:r>
      <w:proofErr w:type="spellEnd"/>
      <w:r>
        <w:rPr>
          <w:rFonts w:cstheme="minorHAnsi"/>
          <w:color w:val="000000" w:themeColor="text1"/>
        </w:rPr>
        <w:t xml:space="preserve">.) (2012). </w:t>
      </w:r>
      <w:r>
        <w:rPr>
          <w:rFonts w:cstheme="minorHAnsi"/>
          <w:i/>
          <w:iCs/>
          <w:color w:val="000000" w:themeColor="text1"/>
        </w:rPr>
        <w:t>« </w:t>
      </w:r>
      <w:r>
        <w:rPr>
          <w:rStyle w:val="Titre10"/>
          <w:rFonts w:cstheme="minorHAnsi"/>
          <w:bCs/>
          <w:i/>
          <w:iCs/>
          <w:color w:val="000000" w:themeColor="text1"/>
        </w:rPr>
        <w:t xml:space="preserve">Notions </w:t>
      </w:r>
      <w:proofErr w:type="gramStart"/>
      <w:r>
        <w:rPr>
          <w:rStyle w:val="Titre10"/>
          <w:rFonts w:cstheme="minorHAnsi"/>
          <w:bCs/>
          <w:i/>
          <w:iCs/>
          <w:color w:val="000000" w:themeColor="text1"/>
        </w:rPr>
        <w:t>en questions</w:t>
      </w:r>
      <w:proofErr w:type="gramEnd"/>
      <w:r>
        <w:rPr>
          <w:rStyle w:val="Titre10"/>
          <w:rFonts w:cstheme="minorHAnsi"/>
          <w:bCs/>
          <w:i/>
          <w:iCs/>
          <w:color w:val="000000" w:themeColor="text1"/>
        </w:rPr>
        <w:t xml:space="preserve"> - Les littératies ».</w:t>
      </w:r>
      <w:r>
        <w:rPr>
          <w:rStyle w:val="Accentuation"/>
          <w:rFonts w:cstheme="minorHAnsi"/>
          <w:color w:val="000000" w:themeColor="text1"/>
          <w:shd w:val="clear" w:color="auto" w:fill="FFFFFF"/>
        </w:rPr>
        <w:t xml:space="preserve"> Recherches en didactique des langues et des cultures,</w:t>
      </w:r>
      <w:r>
        <w:rPr>
          <w:rStyle w:val="Titre10"/>
          <w:rFonts w:cstheme="minorHAnsi"/>
          <w:bCs/>
          <w:color w:val="000000" w:themeColor="text1"/>
        </w:rPr>
        <w:t xml:space="preserve"> </w:t>
      </w:r>
      <w:r>
        <w:rPr>
          <w:rStyle w:val="Titre10"/>
          <w:rFonts w:cstheme="minorHAnsi"/>
          <w:bCs/>
          <w:i/>
          <w:color w:val="000000" w:themeColor="text1"/>
        </w:rPr>
        <w:t xml:space="preserve">Les </w:t>
      </w:r>
      <w:r w:rsidR="00E46929">
        <w:rPr>
          <w:rStyle w:val="Titre10"/>
          <w:rFonts w:cstheme="minorHAnsi"/>
          <w:bCs/>
          <w:i/>
          <w:color w:val="000000" w:themeColor="text1"/>
        </w:rPr>
        <w:t>C</w:t>
      </w:r>
      <w:r>
        <w:rPr>
          <w:rStyle w:val="Titre10"/>
          <w:rFonts w:cstheme="minorHAnsi"/>
          <w:bCs/>
          <w:i/>
          <w:color w:val="000000" w:themeColor="text1"/>
        </w:rPr>
        <w:t>ahiers de l</w:t>
      </w:r>
      <w:r w:rsidR="00E46929">
        <w:rPr>
          <w:rStyle w:val="Titre10"/>
          <w:rFonts w:cstheme="minorHAnsi"/>
          <w:bCs/>
          <w:i/>
          <w:color w:val="000000" w:themeColor="text1"/>
        </w:rPr>
        <w:t>’</w:t>
      </w:r>
      <w:proofErr w:type="spellStart"/>
      <w:r>
        <w:rPr>
          <w:rStyle w:val="Titre10"/>
          <w:rFonts w:cstheme="minorHAnsi"/>
          <w:bCs/>
          <w:i/>
          <w:color w:val="000000" w:themeColor="text1"/>
        </w:rPr>
        <w:t>Acedle</w:t>
      </w:r>
      <w:proofErr w:type="spellEnd"/>
      <w:r>
        <w:rPr>
          <w:rStyle w:val="Titre10"/>
          <w:rFonts w:cstheme="minorHAnsi"/>
          <w:bCs/>
          <w:color w:val="000000" w:themeColor="text1"/>
        </w:rPr>
        <w:t xml:space="preserve">, </w:t>
      </w:r>
      <w:r>
        <w:rPr>
          <w:rStyle w:val="Titre10"/>
          <w:rFonts w:cstheme="minorHAnsi"/>
          <w:bCs/>
          <w:i/>
          <w:color w:val="000000" w:themeColor="text1"/>
        </w:rPr>
        <w:t>9-2.</w:t>
      </w:r>
    </w:p>
    <w:p w14:paraId="11504D1B" w14:textId="3A327F7B" w:rsidR="00E06974" w:rsidRDefault="008D43BE">
      <w:pPr>
        <w:pStyle w:val="Corpsdetexte"/>
        <w:spacing w:after="0" w:line="276" w:lineRule="auto"/>
        <w:jc w:val="both"/>
        <w:rPr>
          <w:rFonts w:asciiTheme="minorHAnsi" w:hAnsiTheme="minorHAnsi" w:cstheme="minorHAnsi"/>
          <w:color w:val="000000" w:themeColor="text1"/>
        </w:rPr>
      </w:pPr>
      <w:proofErr w:type="spellStart"/>
      <w:r>
        <w:rPr>
          <w:rFonts w:cstheme="minorHAnsi"/>
          <w:color w:val="000000" w:themeColor="text1"/>
        </w:rPr>
        <w:t>Sciarrino</w:t>
      </w:r>
      <w:proofErr w:type="spellEnd"/>
      <w:r>
        <w:rPr>
          <w:rFonts w:cstheme="minorHAnsi"/>
          <w:color w:val="000000" w:themeColor="text1"/>
        </w:rPr>
        <w:t xml:space="preserve">, E. (2016). </w:t>
      </w:r>
      <w:r>
        <w:rPr>
          <w:rFonts w:cstheme="minorHAnsi"/>
          <w:i/>
          <w:color w:val="000000" w:themeColor="text1"/>
        </w:rPr>
        <w:t>Le Plurilinguisme en littérature. Le cas italien</w:t>
      </w:r>
      <w:r>
        <w:rPr>
          <w:rFonts w:cstheme="minorHAnsi"/>
          <w:color w:val="000000" w:themeColor="text1"/>
        </w:rPr>
        <w:t>. Paris : Éditions des Archives contemporaines.</w:t>
      </w:r>
    </w:p>
    <w:p w14:paraId="50AAB177" w14:textId="77777777" w:rsidR="00E06974" w:rsidRDefault="008D43BE">
      <w:pPr>
        <w:pStyle w:val="Corpsdetexte"/>
        <w:spacing w:after="0" w:line="276" w:lineRule="auto"/>
        <w:jc w:val="both"/>
      </w:pPr>
      <w:r>
        <w:rPr>
          <w:rFonts w:cstheme="minorHAnsi"/>
          <w:color w:val="000000" w:themeColor="text1"/>
        </w:rPr>
        <w:t xml:space="preserve">Witt, S. (2017). </w:t>
      </w:r>
      <w:r>
        <w:rPr>
          <w:rFonts w:cstheme="minorHAnsi"/>
          <w:i/>
          <w:color w:val="000000" w:themeColor="text1"/>
        </w:rPr>
        <w:t>Littérature et postmodernité.</w:t>
      </w:r>
      <w:r>
        <w:rPr>
          <w:rFonts w:cstheme="minorHAnsi"/>
          <w:color w:val="000000" w:themeColor="text1"/>
        </w:rPr>
        <w:t xml:space="preserve"> Communication au séminaire doctoral du collectif </w:t>
      </w:r>
      <w:proofErr w:type="spellStart"/>
      <w:r>
        <w:rPr>
          <w:rFonts w:cstheme="minorHAnsi"/>
          <w:color w:val="000000" w:themeColor="text1"/>
        </w:rPr>
        <w:t>LiPothétique</w:t>
      </w:r>
      <w:proofErr w:type="spellEnd"/>
      <w:r>
        <w:rPr>
          <w:rFonts w:cstheme="minorHAnsi"/>
          <w:color w:val="000000" w:themeColor="text1"/>
        </w:rPr>
        <w:t>.</w:t>
      </w:r>
    </w:p>
    <w:p w14:paraId="3F6705F6" w14:textId="77777777" w:rsidR="00E06974" w:rsidRDefault="00E06974">
      <w:pPr>
        <w:pStyle w:val="Corpsdetexte"/>
        <w:spacing w:after="0" w:line="276" w:lineRule="auto"/>
        <w:jc w:val="both"/>
      </w:pPr>
    </w:p>
    <w:p w14:paraId="6E5C7F23" w14:textId="77777777" w:rsidR="00E06974" w:rsidRDefault="008D43BE">
      <w:pPr>
        <w:pStyle w:val="Corpsdetexte"/>
        <w:spacing w:after="0" w:line="276" w:lineRule="auto"/>
        <w:jc w:val="both"/>
        <w:rPr>
          <w:b/>
          <w:bCs/>
        </w:rPr>
      </w:pPr>
      <w:r>
        <w:rPr>
          <w:b/>
          <w:bCs/>
        </w:rPr>
        <w:t>Calendrier</w:t>
      </w:r>
    </w:p>
    <w:p w14:paraId="6D865A92" w14:textId="1317ACF2" w:rsidR="00E06974" w:rsidRDefault="008D43BE">
      <w:pPr>
        <w:pStyle w:val="Corpsdetexte"/>
        <w:spacing w:after="0" w:line="276" w:lineRule="auto"/>
        <w:jc w:val="both"/>
      </w:pPr>
      <w:r>
        <w:rPr>
          <w:b/>
          <w:bCs/>
        </w:rPr>
        <w:t>15 novembre 2020</w:t>
      </w:r>
      <w:r>
        <w:t xml:space="preserve"> : envoi des propositions sous la forme d</w:t>
      </w:r>
      <w:r w:rsidR="00E46929">
        <w:t>’</w:t>
      </w:r>
      <w:r>
        <w:t>un résumé (présentation d</w:t>
      </w:r>
      <w:r w:rsidR="00E46929">
        <w:t>’</w:t>
      </w:r>
      <w:r>
        <w:t>une page maximum), avec le rattachement institutionnel et scientifique du (des) auteur(s), un titre explicite, cinq mots-clés et une bibliographie.</w:t>
      </w:r>
    </w:p>
    <w:p w14:paraId="564D92CA" w14:textId="0B837C1E" w:rsidR="00E06974" w:rsidRDefault="008D43BE">
      <w:pPr>
        <w:pStyle w:val="Corpsdetexte"/>
        <w:spacing w:after="0" w:line="276" w:lineRule="auto"/>
        <w:jc w:val="both"/>
      </w:pPr>
      <w:r>
        <w:rPr>
          <w:b/>
          <w:bCs/>
        </w:rPr>
        <w:t>15 janvier 2020</w:t>
      </w:r>
      <w:r>
        <w:t xml:space="preserve"> : notification d</w:t>
      </w:r>
      <w:r w:rsidR="00E46929">
        <w:t>’</w:t>
      </w:r>
      <w:r>
        <w:t>acceptation ou de refus aux auteurs.</w:t>
      </w:r>
    </w:p>
    <w:p w14:paraId="7905440B" w14:textId="77777777" w:rsidR="00E06974" w:rsidRDefault="008D43BE">
      <w:pPr>
        <w:pStyle w:val="Corpsdetexte"/>
        <w:spacing w:after="0" w:line="276" w:lineRule="auto"/>
        <w:jc w:val="both"/>
      </w:pPr>
      <w:r>
        <w:rPr>
          <w:b/>
          <w:bCs/>
        </w:rPr>
        <w:t>15 avril 2021 </w:t>
      </w:r>
      <w:r>
        <w:t xml:space="preserve">: envoi des articles (première version) pour </w:t>
      </w:r>
      <w:r>
        <w:rPr>
          <w:highlight w:val="white"/>
        </w:rPr>
        <w:t>évaluation en double aveugle.</w:t>
      </w:r>
    </w:p>
    <w:p w14:paraId="5A105314" w14:textId="1DF66167" w:rsidR="00E06974" w:rsidRDefault="008D43BE">
      <w:pPr>
        <w:pStyle w:val="Corpsdetexte"/>
        <w:spacing w:after="0" w:line="276" w:lineRule="auto"/>
        <w:jc w:val="both"/>
      </w:pPr>
      <w:r>
        <w:t>Le texte ne dépassera pas environ 23 000 caractères (espaces compris) (Times 12, interligne simple). Il sera accompagné d</w:t>
      </w:r>
      <w:r w:rsidR="00E46929">
        <w:t>’</w:t>
      </w:r>
      <w:r>
        <w:t xml:space="preserve">un résumé </w:t>
      </w:r>
      <w:r>
        <w:rPr>
          <w:highlight w:val="white"/>
        </w:rPr>
        <w:t>et de cinq mots-clés.</w:t>
      </w:r>
    </w:p>
    <w:p w14:paraId="3F50147C" w14:textId="77777777" w:rsidR="00E06974" w:rsidRDefault="008D43BE">
      <w:pPr>
        <w:pStyle w:val="Corpsdetexte"/>
        <w:spacing w:after="0" w:line="276" w:lineRule="auto"/>
        <w:jc w:val="both"/>
      </w:pPr>
      <w:r>
        <w:rPr>
          <w:b/>
          <w:bCs/>
        </w:rPr>
        <w:t>15 juin 2021</w:t>
      </w:r>
      <w:r>
        <w:t xml:space="preserve"> : retour des articles après </w:t>
      </w:r>
      <w:r>
        <w:rPr>
          <w:highlight w:val="white"/>
        </w:rPr>
        <w:t>évaluation</w:t>
      </w:r>
      <w:r>
        <w:t xml:space="preserve"> et éventuelles réécritures demandées.</w:t>
      </w:r>
    </w:p>
    <w:p w14:paraId="7E2EBA4D" w14:textId="706DD8BA" w:rsidR="00E06974" w:rsidRDefault="008D43BE">
      <w:pPr>
        <w:pStyle w:val="Corpsdetexte"/>
        <w:spacing w:after="0" w:line="276" w:lineRule="auto"/>
        <w:jc w:val="both"/>
      </w:pPr>
      <w:r>
        <w:rPr>
          <w:b/>
          <w:bCs/>
        </w:rPr>
        <w:t>1</w:t>
      </w:r>
      <w:r>
        <w:rPr>
          <w:b/>
          <w:bCs/>
          <w:vertAlign w:val="superscript"/>
        </w:rPr>
        <w:t>er</w:t>
      </w:r>
      <w:r>
        <w:rPr>
          <w:b/>
          <w:bCs/>
        </w:rPr>
        <w:t xml:space="preserve"> septembre 2021 </w:t>
      </w:r>
      <w:r>
        <w:t>: envoi, par les auteurs, de l</w:t>
      </w:r>
      <w:r w:rsidR="00E46929">
        <w:t>’</w:t>
      </w:r>
      <w:r>
        <w:t xml:space="preserve">article définitif remanié selon indications des relecteurs </w:t>
      </w:r>
      <w:r>
        <w:rPr>
          <w:highlight w:val="white"/>
        </w:rPr>
        <w:t>et des coordinatrices.</w:t>
      </w:r>
    </w:p>
    <w:p w14:paraId="61AE1355" w14:textId="77777777" w:rsidR="00E06974" w:rsidRDefault="008D43BE">
      <w:pPr>
        <w:pStyle w:val="Corpsdetexte"/>
        <w:spacing w:after="0" w:line="276" w:lineRule="auto"/>
        <w:jc w:val="both"/>
      </w:pPr>
      <w:r>
        <w:rPr>
          <w:b/>
          <w:bCs/>
        </w:rPr>
        <w:t>Décembre 2021</w:t>
      </w:r>
      <w:r>
        <w:t xml:space="preserve"> : parution du numéro.</w:t>
      </w:r>
    </w:p>
    <w:p w14:paraId="6E288B5A" w14:textId="77777777" w:rsidR="00E06974" w:rsidRDefault="008D43BE">
      <w:pPr>
        <w:pStyle w:val="Corpsdetexte"/>
        <w:spacing w:after="0" w:line="276" w:lineRule="auto"/>
        <w:jc w:val="both"/>
      </w:pPr>
      <w:r>
        <w:t>Les propositions et les textes seront à envoyer aux deux adresses suivantes :</w:t>
      </w:r>
    </w:p>
    <w:p w14:paraId="2476F5FB" w14:textId="77777777" w:rsidR="00E06974" w:rsidRDefault="008D43BE">
      <w:pPr>
        <w:pStyle w:val="Corpsdetexte"/>
        <w:spacing w:after="0" w:line="276" w:lineRule="auto"/>
        <w:jc w:val="both"/>
      </w:pPr>
      <w:r>
        <w:tab/>
      </w:r>
      <w:proofErr w:type="gramStart"/>
      <w:r>
        <w:t>véronique.bourhis@cyu.fr</w:t>
      </w:r>
      <w:proofErr w:type="gramEnd"/>
    </w:p>
    <w:p w14:paraId="02C76273" w14:textId="77777777" w:rsidR="00E06974" w:rsidRDefault="008D43BE">
      <w:pPr>
        <w:pStyle w:val="Corpsdetexte"/>
        <w:spacing w:after="0" w:line="276" w:lineRule="auto"/>
        <w:jc w:val="both"/>
      </w:pPr>
      <w:r>
        <w:tab/>
        <w:t>lydie.laroquet@cyu.fr</w:t>
      </w:r>
    </w:p>
    <w:p w14:paraId="36187519" w14:textId="77777777" w:rsidR="00E06974" w:rsidRDefault="00E06974">
      <w:pPr>
        <w:pStyle w:val="Corpsdetexte"/>
        <w:spacing w:after="0" w:line="276" w:lineRule="auto"/>
        <w:jc w:val="both"/>
        <w:rPr>
          <w:rFonts w:ascii="arial;helvetica;sans-serif" w:hAnsi="arial;helvetica;sans-serif"/>
          <w:color w:val="000000"/>
          <w:sz w:val="20"/>
        </w:rPr>
      </w:pPr>
    </w:p>
    <w:p w14:paraId="63511713" w14:textId="77777777" w:rsidR="00E06974" w:rsidRDefault="00E06974">
      <w:pPr>
        <w:pStyle w:val="Corpsdetexte"/>
        <w:spacing w:after="0" w:line="276" w:lineRule="auto"/>
        <w:jc w:val="both"/>
      </w:pPr>
    </w:p>
    <w:sectPr w:rsidR="00E06974">
      <w:footerReference w:type="default" r:id="rId7"/>
      <w:pgSz w:w="11906" w:h="16838"/>
      <w:pgMar w:top="1134" w:right="1134" w:bottom="851" w:left="1134" w:header="0" w:footer="697"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EEEB8" w14:textId="77777777" w:rsidR="0049309F" w:rsidRDefault="0049309F">
      <w:r>
        <w:separator/>
      </w:r>
    </w:p>
  </w:endnote>
  <w:endnote w:type="continuationSeparator" w:id="0">
    <w:p w14:paraId="6CF636D5" w14:textId="77777777" w:rsidR="0049309F" w:rsidRDefault="0049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WenQuanYi Micro Hei">
    <w:panose1 w:val="020B0604020202020204"/>
    <w:charset w:val="00"/>
    <w:family w:val="roman"/>
    <w:notTrueType/>
    <w:pitch w:val="default"/>
  </w:font>
  <w:font w:name="Lohit Devanagari">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LHFLTV+MetaNormalLF-Roman">
    <w:panose1 w:val="020B0604020202020204"/>
    <w:charset w:val="00"/>
    <w:family w:val="roman"/>
    <w:notTrueType/>
    <w:pitch w:val="default"/>
  </w:font>
  <w:font w:name="arial;helvetica;sans-serif">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744114"/>
      <w:docPartObj>
        <w:docPartGallery w:val="Page Numbers (Bottom of Page)"/>
        <w:docPartUnique/>
      </w:docPartObj>
    </w:sdtPr>
    <w:sdtEndPr/>
    <w:sdtContent>
      <w:p w14:paraId="530756C7" w14:textId="77777777" w:rsidR="00E06974" w:rsidRDefault="008D43BE">
        <w:pPr>
          <w:pStyle w:val="Pieddepage"/>
          <w:jc w:val="right"/>
        </w:pPr>
        <w:r>
          <w:fldChar w:fldCharType="begin"/>
        </w:r>
        <w:r>
          <w:instrText>PAGE</w:instrText>
        </w:r>
        <w:r>
          <w:fldChar w:fldCharType="separate"/>
        </w:r>
        <w:r>
          <w:t>3</w:t>
        </w:r>
        <w:r>
          <w:fldChar w:fldCharType="end"/>
        </w:r>
      </w:p>
    </w:sdtContent>
  </w:sdt>
  <w:p w14:paraId="5B98F05A" w14:textId="77777777" w:rsidR="00E06974" w:rsidRDefault="00E069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18592" w14:textId="77777777" w:rsidR="0049309F" w:rsidRDefault="0049309F">
      <w:r>
        <w:separator/>
      </w:r>
    </w:p>
  </w:footnote>
  <w:footnote w:type="continuationSeparator" w:id="0">
    <w:p w14:paraId="41EB5168" w14:textId="77777777" w:rsidR="0049309F" w:rsidRDefault="00493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3D462F"/>
    <w:multiLevelType w:val="multilevel"/>
    <w:tmpl w:val="80E450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B5A4E1D"/>
    <w:multiLevelType w:val="multilevel"/>
    <w:tmpl w:val="091860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74"/>
    <w:rsid w:val="0049309F"/>
    <w:rsid w:val="0081206A"/>
    <w:rsid w:val="008D43BE"/>
    <w:rsid w:val="00E06974"/>
    <w:rsid w:val="00E4692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F616"/>
  <w15:docId w15:val="{3E34A819-0FD4-4363-8D18-59AA1F11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559A"/>
    <w:rPr>
      <w:rFonts w:ascii="Times New Roman" w:eastAsia="Times New Roman" w:hAnsi="Times New Roman" w:cs="Times New Roman"/>
      <w:color w:val="00000A"/>
      <w:sz w:val="24"/>
      <w:lang w:val="fr-CH" w:eastAsia="fr-FR"/>
    </w:rPr>
  </w:style>
  <w:style w:type="paragraph" w:styleId="Titre1">
    <w:name w:val="heading 1"/>
    <w:basedOn w:val="Normal"/>
    <w:uiPriority w:val="9"/>
    <w:qFormat/>
    <w:rsid w:val="00F87F5E"/>
    <w:pPr>
      <w:spacing w:beforeAutospacing="1" w:afterAutospacing="1"/>
      <w:outlineLvl w:val="0"/>
    </w:pPr>
    <w:rPr>
      <w:b/>
      <w:bCs/>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jss69">
    <w:name w:val="jss69"/>
    <w:basedOn w:val="Policepardfaut"/>
    <w:qFormat/>
    <w:rsid w:val="00F87F5E"/>
  </w:style>
  <w:style w:type="character" w:customStyle="1" w:styleId="Titre1Car">
    <w:name w:val="Titre 1 Car"/>
    <w:basedOn w:val="Policepardfaut"/>
    <w:link w:val="Titre10"/>
    <w:uiPriority w:val="9"/>
    <w:qFormat/>
    <w:rsid w:val="00F87F5E"/>
    <w:rPr>
      <w:rFonts w:ascii="Times New Roman" w:eastAsia="Times New Roman" w:hAnsi="Times New Roman" w:cs="Times New Roman"/>
      <w:b/>
      <w:bCs/>
      <w:sz w:val="48"/>
      <w:szCs w:val="48"/>
      <w:lang w:val="fr-CH" w:eastAsia="fr-FR"/>
    </w:rPr>
  </w:style>
  <w:style w:type="character" w:customStyle="1" w:styleId="text">
    <w:name w:val="text"/>
    <w:basedOn w:val="Policepardfaut"/>
    <w:qFormat/>
    <w:rsid w:val="00F87F5E"/>
  </w:style>
  <w:style w:type="character" w:styleId="lev">
    <w:name w:val="Strong"/>
    <w:basedOn w:val="Policepardfaut"/>
    <w:uiPriority w:val="22"/>
    <w:qFormat/>
    <w:rsid w:val="00F87F5E"/>
    <w:rPr>
      <w:b/>
      <w:bCs/>
    </w:rPr>
  </w:style>
  <w:style w:type="character" w:customStyle="1" w:styleId="familyname">
    <w:name w:val="familyname"/>
    <w:basedOn w:val="Policepardfaut"/>
    <w:qFormat/>
    <w:rsid w:val="00F87F5E"/>
  </w:style>
  <w:style w:type="character" w:customStyle="1" w:styleId="number">
    <w:name w:val="number"/>
    <w:basedOn w:val="Policepardfaut"/>
    <w:qFormat/>
    <w:rsid w:val="00F87F5E"/>
  </w:style>
  <w:style w:type="character" w:customStyle="1" w:styleId="Titre10">
    <w:name w:val="Titre1"/>
    <w:basedOn w:val="Policepardfaut"/>
    <w:link w:val="Titre1Car"/>
    <w:qFormat/>
    <w:rsid w:val="00F87F5E"/>
  </w:style>
  <w:style w:type="character" w:customStyle="1" w:styleId="auteur">
    <w:name w:val="auteur"/>
    <w:basedOn w:val="Policepardfaut"/>
    <w:qFormat/>
    <w:rsid w:val="00F87F5E"/>
  </w:style>
  <w:style w:type="character" w:customStyle="1" w:styleId="InternetLink">
    <w:name w:val="Internet Link"/>
    <w:basedOn w:val="Policepardfaut"/>
    <w:uiPriority w:val="99"/>
    <w:unhideWhenUsed/>
    <w:rsid w:val="00F972D0"/>
    <w:rPr>
      <w:color w:val="0563C1" w:themeColor="hyperlink"/>
      <w:u w:val="single"/>
    </w:rPr>
  </w:style>
  <w:style w:type="character" w:customStyle="1" w:styleId="in-revue">
    <w:name w:val="in-revue"/>
    <w:basedOn w:val="Policepardfaut"/>
    <w:qFormat/>
    <w:rsid w:val="00F87F5E"/>
  </w:style>
  <w:style w:type="character" w:customStyle="1" w:styleId="titre-revue">
    <w:name w:val="titre-revue"/>
    <w:basedOn w:val="Policepardfaut"/>
    <w:qFormat/>
    <w:rsid w:val="00F87F5E"/>
  </w:style>
  <w:style w:type="character" w:styleId="Lienhypertextesuivivisit">
    <w:name w:val="FollowedHyperlink"/>
    <w:basedOn w:val="Policepardfaut"/>
    <w:uiPriority w:val="99"/>
    <w:semiHidden/>
    <w:unhideWhenUsed/>
    <w:qFormat/>
    <w:rsid w:val="00F87F5E"/>
    <w:rPr>
      <w:color w:val="954F72" w:themeColor="followedHyperlink"/>
      <w:u w:val="single"/>
    </w:rPr>
  </w:style>
  <w:style w:type="character" w:styleId="Accentuation">
    <w:name w:val="Emphasis"/>
    <w:basedOn w:val="Policepardfaut"/>
    <w:uiPriority w:val="20"/>
    <w:qFormat/>
    <w:rsid w:val="00F87F5E"/>
    <w:rPr>
      <w:i/>
      <w:iCs/>
    </w:rPr>
  </w:style>
  <w:style w:type="character" w:customStyle="1" w:styleId="txbib-authors-surname-nocase">
    <w:name w:val="tx_bib-authors-surname-nocase"/>
    <w:basedOn w:val="Policepardfaut"/>
    <w:qFormat/>
    <w:rsid w:val="00851F74"/>
  </w:style>
  <w:style w:type="character" w:customStyle="1" w:styleId="txbib-authors-forename">
    <w:name w:val="tx_bib-authors-forename"/>
    <w:basedOn w:val="Policepardfaut"/>
    <w:qFormat/>
    <w:rsid w:val="00851F74"/>
  </w:style>
  <w:style w:type="character" w:customStyle="1" w:styleId="txbib-volume">
    <w:name w:val="tx_bib-volume"/>
    <w:basedOn w:val="Policepardfaut"/>
    <w:qFormat/>
    <w:rsid w:val="00851F74"/>
  </w:style>
  <w:style w:type="character" w:customStyle="1" w:styleId="txbib-tagsblock">
    <w:name w:val="tx_bib-tags_block"/>
    <w:basedOn w:val="Policepardfaut"/>
    <w:qFormat/>
    <w:rsid w:val="00851F74"/>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En-tteCar">
    <w:name w:val="En-tête Car"/>
    <w:basedOn w:val="Policepardfaut"/>
    <w:uiPriority w:val="99"/>
    <w:qFormat/>
    <w:rsid w:val="00107C27"/>
    <w:rPr>
      <w:rFonts w:ascii="Times New Roman" w:eastAsia="Times New Roman" w:hAnsi="Times New Roman" w:cs="Times New Roman"/>
      <w:lang w:val="fr-CH" w:eastAsia="fr-FR"/>
    </w:rPr>
  </w:style>
  <w:style w:type="character" w:customStyle="1" w:styleId="PieddepageCar">
    <w:name w:val="Pied de page Car"/>
    <w:basedOn w:val="Policepardfaut"/>
    <w:link w:val="Pieddepage"/>
    <w:uiPriority w:val="99"/>
    <w:qFormat/>
    <w:rsid w:val="00107C27"/>
    <w:rPr>
      <w:rFonts w:ascii="Times New Roman" w:eastAsia="Times New Roman" w:hAnsi="Times New Roman" w:cs="Times New Roman"/>
      <w:lang w:val="fr-CH" w:eastAsia="fr-FR"/>
    </w:rPr>
  </w:style>
  <w:style w:type="character" w:styleId="Mentionnonrsolue">
    <w:name w:val="Unresolved Mention"/>
    <w:basedOn w:val="Policepardfaut"/>
    <w:uiPriority w:val="99"/>
    <w:qFormat/>
    <w:rsid w:val="00F972D0"/>
    <w:rPr>
      <w:color w:val="605E5C"/>
      <w:shd w:val="clear" w:color="auto" w:fill="E1DFDD"/>
    </w:rPr>
  </w:style>
  <w:style w:type="character" w:customStyle="1" w:styleId="Policepardfaut1">
    <w:name w:val="Police par défaut1"/>
    <w:qFormat/>
  </w:style>
  <w:style w:type="character" w:customStyle="1" w:styleId="Marquedecommentaire1">
    <w:name w:val="Marque de commentaire1"/>
    <w:basedOn w:val="Policepardfaut1"/>
    <w:qFormat/>
  </w:style>
  <w:style w:type="paragraph" w:customStyle="1" w:styleId="Heading">
    <w:name w:val="Heading"/>
    <w:basedOn w:val="Normal"/>
    <w:next w:val="Corpsdetexte"/>
    <w:qFormat/>
    <w:pPr>
      <w:keepNext/>
      <w:spacing w:before="240" w:after="120"/>
    </w:pPr>
    <w:rPr>
      <w:rFonts w:ascii="Liberation Sans" w:eastAsia="WenQuanYi Micro Hei" w:hAnsi="Liberation Sans" w:cs="Lohit Devanagari"/>
      <w:sz w:val="28"/>
      <w:szCs w:val="28"/>
    </w:rPr>
  </w:style>
  <w:style w:type="paragraph" w:styleId="Corpsdetexte">
    <w:name w:val="Body Text"/>
    <w:basedOn w:val="Normal"/>
    <w:pPr>
      <w:spacing w:after="140" w:line="288"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p1">
    <w:name w:val="p1"/>
    <w:basedOn w:val="Normal"/>
    <w:qFormat/>
    <w:rsid w:val="00956207"/>
    <w:rPr>
      <w:rFonts w:ascii="Helvetica" w:eastAsiaTheme="minorHAnsi" w:hAnsi="Helvetica"/>
      <w:sz w:val="26"/>
      <w:szCs w:val="26"/>
      <w:lang w:val="fr-FR"/>
    </w:rPr>
  </w:style>
  <w:style w:type="paragraph" w:styleId="Paragraphedeliste">
    <w:name w:val="List Paragraph"/>
    <w:basedOn w:val="Normal"/>
    <w:uiPriority w:val="34"/>
    <w:qFormat/>
    <w:rsid w:val="00956207"/>
    <w:pPr>
      <w:ind w:left="720"/>
      <w:contextualSpacing/>
    </w:pPr>
    <w:rPr>
      <w:rFonts w:asciiTheme="minorHAnsi" w:eastAsiaTheme="minorHAnsi" w:hAnsiTheme="minorHAnsi" w:cstheme="minorBidi"/>
      <w:lang w:val="fr-FR" w:eastAsia="en-US"/>
    </w:rPr>
  </w:style>
  <w:style w:type="paragraph" w:customStyle="1" w:styleId="titre-article">
    <w:name w:val="titre-article"/>
    <w:basedOn w:val="Normal"/>
    <w:qFormat/>
    <w:rsid w:val="00F87F5E"/>
    <w:pPr>
      <w:spacing w:beforeAutospacing="1" w:afterAutospacing="1"/>
    </w:pPr>
  </w:style>
  <w:style w:type="paragraph" w:customStyle="1" w:styleId="meta">
    <w:name w:val="meta"/>
    <w:basedOn w:val="Normal"/>
    <w:qFormat/>
    <w:rsid w:val="00F87F5E"/>
    <w:pPr>
      <w:spacing w:beforeAutospacing="1" w:afterAutospacing="1"/>
    </w:pPr>
  </w:style>
  <w:style w:type="paragraph" w:styleId="NormalWeb">
    <w:name w:val="Normal (Web)"/>
    <w:basedOn w:val="Normal"/>
    <w:uiPriority w:val="99"/>
    <w:unhideWhenUsed/>
    <w:qFormat/>
    <w:rsid w:val="009D142B"/>
    <w:pPr>
      <w:spacing w:beforeAutospacing="1" w:afterAutospacing="1"/>
    </w:pPr>
  </w:style>
  <w:style w:type="paragraph" w:customStyle="1" w:styleId="textes">
    <w:name w:val="textes"/>
    <w:basedOn w:val="Normal"/>
    <w:qFormat/>
    <w:rsid w:val="00851F74"/>
    <w:pPr>
      <w:spacing w:beforeAutospacing="1" w:afterAutospacing="1"/>
    </w:pPr>
  </w:style>
  <w:style w:type="paragraph" w:styleId="En-tte">
    <w:name w:val="header"/>
    <w:basedOn w:val="Normal"/>
    <w:uiPriority w:val="99"/>
    <w:unhideWhenUsed/>
    <w:rsid w:val="00107C27"/>
    <w:pPr>
      <w:tabs>
        <w:tab w:val="center" w:pos="4536"/>
        <w:tab w:val="right" w:pos="9072"/>
      </w:tabs>
    </w:pPr>
  </w:style>
  <w:style w:type="paragraph" w:styleId="Pieddepage">
    <w:name w:val="footer"/>
    <w:basedOn w:val="Normal"/>
    <w:link w:val="PieddepageCar"/>
    <w:uiPriority w:val="99"/>
    <w:unhideWhenUsed/>
    <w:rsid w:val="00107C27"/>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1444</Words>
  <Characters>7945</Characters>
  <Application>Microsoft Office Word</Application>
  <DocSecurity>0</DocSecurity>
  <Lines>66</Lines>
  <Paragraphs>18</Paragraphs>
  <ScaleCrop>false</ScaleCrop>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vbatlle.bourhis@gmail.com</dc:creator>
  <dc:description/>
  <cp:lastModifiedBy>Viviane Youx</cp:lastModifiedBy>
  <cp:revision>2</cp:revision>
  <dcterms:created xsi:type="dcterms:W3CDTF">2020-08-31T08:02:00Z</dcterms:created>
  <dcterms:modified xsi:type="dcterms:W3CDTF">2020-08-31T08:02:00Z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