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8"/>
      </w:tblGrid>
      <w:tr w:rsidR="00DB5302" w:rsidTr="00DB5302">
        <w:trPr>
          <w:trHeight w:val="983"/>
        </w:trPr>
        <w:tc>
          <w:tcPr>
            <w:tcW w:w="3794" w:type="dxa"/>
          </w:tcPr>
          <w:p w:rsidR="00DB5302" w:rsidRDefault="00DB5302" w:rsidP="007A1530">
            <w:pPr>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noProof/>
                <w:sz w:val="36"/>
                <w:szCs w:val="36"/>
                <w:lang w:eastAsia="fr-FR"/>
              </w:rPr>
              <w:drawing>
                <wp:inline distT="0" distB="0" distL="0" distR="0">
                  <wp:extent cx="1324417" cy="652007"/>
                  <wp:effectExtent l="19050" t="0" r="9083" b="0"/>
                  <wp:docPr id="1" name="Image 0" descr="logo_AM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EF.jpg"/>
                          <pic:cNvPicPr/>
                        </pic:nvPicPr>
                        <pic:blipFill>
                          <a:blip r:embed="rId6" cstate="print"/>
                          <a:stretch>
                            <a:fillRect/>
                          </a:stretch>
                        </pic:blipFill>
                        <pic:spPr>
                          <a:xfrm>
                            <a:off x="0" y="0"/>
                            <a:ext cx="1326884" cy="653221"/>
                          </a:xfrm>
                          <a:prstGeom prst="rect">
                            <a:avLst/>
                          </a:prstGeom>
                        </pic:spPr>
                      </pic:pic>
                    </a:graphicData>
                  </a:graphic>
                </wp:inline>
              </w:drawing>
            </w:r>
          </w:p>
        </w:tc>
        <w:tc>
          <w:tcPr>
            <w:tcW w:w="5418" w:type="dxa"/>
          </w:tcPr>
          <w:p w:rsidR="00DB5302" w:rsidRDefault="00DB5302" w:rsidP="007A1530">
            <w:pPr>
              <w:jc w:val="center"/>
              <w:outlineLvl w:val="1"/>
              <w:rPr>
                <w:rFonts w:ascii="Times New Roman" w:eastAsia="Times New Roman" w:hAnsi="Times New Roman" w:cs="Times New Roman"/>
                <w:b/>
                <w:bCs/>
                <w:sz w:val="36"/>
                <w:szCs w:val="36"/>
                <w:lang w:eastAsia="fr-FR"/>
              </w:rPr>
            </w:pPr>
            <w:r w:rsidRPr="00DB5302">
              <w:rPr>
                <w:sz w:val="32"/>
                <w:szCs w:val="32"/>
              </w:rPr>
              <w:t>Association Marocaine des Enseignants de Français</w:t>
            </w:r>
            <w:r w:rsidR="00665F87">
              <w:rPr>
                <w:sz w:val="32"/>
                <w:szCs w:val="32"/>
              </w:rPr>
              <w:t xml:space="preserve"> (AMEF)</w:t>
            </w:r>
          </w:p>
        </w:tc>
      </w:tr>
    </w:tbl>
    <w:p w:rsidR="003B358E" w:rsidRDefault="00DB5302" w:rsidP="007A1530">
      <w:pPr>
        <w:spacing w:after="0" w:line="240" w:lineRule="auto"/>
        <w:jc w:val="center"/>
        <w:outlineLvl w:val="1"/>
        <w:rPr>
          <w:rFonts w:ascii="Times New Roman" w:eastAsia="Times New Roman" w:hAnsi="Times New Roman" w:cs="Times New Roman"/>
          <w:b/>
          <w:bCs/>
          <w:sz w:val="36"/>
          <w:szCs w:val="36"/>
          <w:lang w:eastAsia="fr-FR"/>
        </w:rPr>
      </w:pPr>
      <w:r w:rsidRPr="00DB5302">
        <w:rPr>
          <w:rFonts w:ascii="Times New Roman" w:eastAsia="Times New Roman" w:hAnsi="Times New Roman" w:cs="Times New Roman"/>
          <w:b/>
          <w:bCs/>
          <w:sz w:val="36"/>
          <w:szCs w:val="36"/>
          <w:lang w:eastAsia="fr-FR"/>
        </w:rPr>
        <w:t xml:space="preserve">Colloque de l'AMEF à TIZNIT: </w:t>
      </w:r>
    </w:p>
    <w:p w:rsidR="00DB5302" w:rsidRDefault="00DB5302" w:rsidP="007A1530">
      <w:pPr>
        <w:spacing w:after="0" w:line="240" w:lineRule="auto"/>
        <w:jc w:val="center"/>
        <w:outlineLvl w:val="1"/>
        <w:rPr>
          <w:rFonts w:ascii="Times New Roman" w:eastAsia="Times New Roman" w:hAnsi="Times New Roman" w:cs="Times New Roman"/>
          <w:b/>
          <w:bCs/>
          <w:sz w:val="36"/>
          <w:szCs w:val="36"/>
          <w:lang w:eastAsia="fr-FR"/>
        </w:rPr>
      </w:pPr>
      <w:bookmarkStart w:id="0" w:name="_GoBack"/>
      <w:bookmarkEnd w:id="0"/>
      <w:r w:rsidRPr="00DB5302">
        <w:rPr>
          <w:rFonts w:ascii="Times New Roman" w:eastAsia="Times New Roman" w:hAnsi="Times New Roman" w:cs="Times New Roman"/>
          <w:b/>
          <w:bCs/>
          <w:sz w:val="36"/>
          <w:szCs w:val="36"/>
          <w:lang w:eastAsia="fr-FR"/>
        </w:rPr>
        <w:t>Multilinguisme et enseignement du français</w:t>
      </w:r>
    </w:p>
    <w:p w:rsidR="00DB5302" w:rsidRDefault="00DB5302" w:rsidP="007A1530">
      <w:pPr>
        <w:spacing w:after="0" w:line="240" w:lineRule="auto"/>
        <w:jc w:val="center"/>
        <w:outlineLvl w:val="1"/>
        <w:rPr>
          <w:b/>
          <w:bCs/>
          <w:sz w:val="28"/>
          <w:szCs w:val="28"/>
        </w:rPr>
      </w:pPr>
      <w:r w:rsidRPr="00DB5302">
        <w:rPr>
          <w:b/>
          <w:bCs/>
          <w:sz w:val="28"/>
          <w:szCs w:val="28"/>
        </w:rPr>
        <w:t>17 et 18 novembre 2014</w:t>
      </w:r>
    </w:p>
    <w:p w:rsidR="007A1530" w:rsidRDefault="007A1530" w:rsidP="007A1530">
      <w:pPr>
        <w:spacing w:after="0" w:line="240" w:lineRule="auto"/>
        <w:jc w:val="center"/>
        <w:outlineLvl w:val="1"/>
        <w:rPr>
          <w:b/>
          <w:bCs/>
          <w:sz w:val="28"/>
          <w:szCs w:val="28"/>
        </w:rPr>
      </w:pPr>
    </w:p>
    <w:p w:rsidR="007A1530" w:rsidRPr="006F5B94" w:rsidRDefault="007A1530" w:rsidP="007A1530">
      <w:pPr>
        <w:spacing w:after="0"/>
        <w:ind w:firstLine="708"/>
        <w:jc w:val="both"/>
      </w:pPr>
      <w:r w:rsidRPr="006F5B94">
        <w:t>Dans un monde natur</w:t>
      </w:r>
      <w:r>
        <w:t>ellement pluriel et multilingue</w:t>
      </w:r>
      <w:r w:rsidRPr="006F5B94">
        <w:t xml:space="preserve"> l’évolution des sociétés actuelles est  marquée par les effets de la mondialisation et de la mobilité de leurs citoyens. </w:t>
      </w:r>
    </w:p>
    <w:p w:rsidR="007A1530" w:rsidRPr="006F5B94" w:rsidRDefault="007A1530" w:rsidP="007A1530">
      <w:pPr>
        <w:spacing w:after="0"/>
        <w:jc w:val="both"/>
        <w:rPr>
          <w:rFonts w:cs="Times New Roman"/>
          <w:sz w:val="24"/>
          <w:szCs w:val="24"/>
        </w:rPr>
      </w:pPr>
      <w:r w:rsidRPr="006F5B94">
        <w:t xml:space="preserve">          Il en résulte que, appréhender la problématique du plurilinguisme et, partant,  celle de la gestion didactique et pédagogique de l’enseignement-apprentissage des langues, constitue une préoccupation de première importance dans de nombreux pays.</w:t>
      </w:r>
      <w:r w:rsidRPr="006F5B94">
        <w:rPr>
          <w:rFonts w:cs="Times New Roman"/>
          <w:sz w:val="24"/>
          <w:szCs w:val="24"/>
        </w:rPr>
        <w:t xml:space="preserve"> </w:t>
      </w:r>
    </w:p>
    <w:p w:rsidR="007A1530" w:rsidRPr="006F5B94" w:rsidRDefault="007A1530" w:rsidP="007A1530">
      <w:pPr>
        <w:spacing w:after="0"/>
        <w:jc w:val="both"/>
      </w:pPr>
      <w:r w:rsidRPr="006F5B94">
        <w:rPr>
          <w:rFonts w:cs="Times New Roman"/>
          <w:sz w:val="24"/>
          <w:szCs w:val="24"/>
        </w:rPr>
        <w:t xml:space="preserve">       </w:t>
      </w:r>
      <w:r w:rsidRPr="006F5B94">
        <w:t>Le Maroc, terre de rencontre et de brassage de différents peuples et cultures (amazighe, arabe, musulmane, africaine, européenne) de par son histoire et sa position géographique,  est imprégné par les apports de cette riche diversité culturelle dont l’héritage linguistique a façonné son paysage multilingue : d’un côté il y a les langues</w:t>
      </w:r>
      <w:r>
        <w:t xml:space="preserve"> maternelles (l’arabe dialectal</w:t>
      </w:r>
      <w:r w:rsidRPr="006F5B94">
        <w:t xml:space="preserve">- </w:t>
      </w:r>
      <w:proofErr w:type="spellStart"/>
      <w:r w:rsidRPr="006F5B94">
        <w:t>darija</w:t>
      </w:r>
      <w:proofErr w:type="spellEnd"/>
      <w:r w:rsidRPr="006F5B94">
        <w:t xml:space="preserve">- , l’amazighe ), </w:t>
      </w:r>
      <w:r>
        <w:t>les langues officielles (</w:t>
      </w:r>
      <w:r w:rsidRPr="006F5B94">
        <w:t xml:space="preserve">l’arabe </w:t>
      </w:r>
      <w:r>
        <w:t xml:space="preserve">et l’amazighe) , et </w:t>
      </w:r>
      <w:r w:rsidRPr="006F5B94">
        <w:t>de l’autre , les langues étrangères ( le français, l’espagnol, l’anglais</w:t>
      </w:r>
      <w:r>
        <w:t xml:space="preserve"> </w:t>
      </w:r>
      <w:r w:rsidRPr="008E28E3">
        <w:rPr>
          <w:color w:val="0070C0"/>
        </w:rPr>
        <w:t>…</w:t>
      </w:r>
      <w:r w:rsidRPr="006F5B94">
        <w:t xml:space="preserve">). </w:t>
      </w:r>
    </w:p>
    <w:p w:rsidR="007A1530" w:rsidRPr="006F5B94" w:rsidRDefault="007A1530" w:rsidP="007A1530">
      <w:pPr>
        <w:spacing w:after="0"/>
        <w:jc w:val="both"/>
      </w:pPr>
      <w:r w:rsidRPr="006F5B94">
        <w:t xml:space="preserve">         Cette diversité linguistique et culturelle, une richesse certes, n’en demeure pas moins source de </w:t>
      </w:r>
      <w:proofErr w:type="gramStart"/>
      <w:r w:rsidRPr="006F5B94">
        <w:t>conflits</w:t>
      </w:r>
      <w:proofErr w:type="gramEnd"/>
      <w:r w:rsidRPr="006F5B94">
        <w:t xml:space="preserve"> et de revendications identitaires; elle s’impose</w:t>
      </w:r>
      <w:r>
        <w:t>,</w:t>
      </w:r>
      <w:r w:rsidRPr="006F5B94">
        <w:t xml:space="preserve"> par conséquent, comme un cadre global susceptible de favoriser des politiques linguistiques garantissant un rapport de complémentarité entre les langues en présence, par la promotion d’un plurilinguisme serein, qui favorise l’enseignement-apprentissage de différentes langues en fonction des choix nationaux en matière de politique éducative. Le défi qui en découle concerne le statut des langues nationales et étrangères, le français notamment.  </w:t>
      </w:r>
    </w:p>
    <w:p w:rsidR="007A1530" w:rsidRDefault="007A1530" w:rsidP="007A1530">
      <w:pPr>
        <w:spacing w:after="0"/>
        <w:jc w:val="both"/>
      </w:pPr>
      <w:r w:rsidRPr="006F5B94">
        <w:t xml:space="preserve">           Le contact entre les langues du/au Maroc concerne, donc,  non seulement les problématiques liées à la question de l’identité, mais également à celle du développement humain, en termes </w:t>
      </w:r>
      <w:r w:rsidRPr="0031087A">
        <w:rPr>
          <w:strike/>
        </w:rPr>
        <w:t xml:space="preserve"> </w:t>
      </w:r>
      <w:r w:rsidRPr="006F5B94">
        <w:t xml:space="preserve">d'effets sur les individus et sur </w:t>
      </w:r>
      <w:r>
        <w:t xml:space="preserve">la société. C'est dire combien </w:t>
      </w:r>
      <w:r w:rsidRPr="006F5B94">
        <w:t xml:space="preserve">est d'une grande importance la problématique sociale en didactique des langues. Tout cela rend complexe la détermination des choix didactiques et leur mise en œuvre  et suscite de nombreuses interrogations, dont la principale, pour ce colloque, est la suivante : </w:t>
      </w:r>
      <w:r>
        <w:t>quel enseignement du français mettre en place afin qu’il soit en adéquate harmonie avec les composantes plurielles du paysage linguistique ?</w:t>
      </w:r>
    </w:p>
    <w:p w:rsidR="007A1530" w:rsidRPr="006F5B94" w:rsidRDefault="007A1530" w:rsidP="007A1530">
      <w:pPr>
        <w:spacing w:after="0"/>
        <w:jc w:val="both"/>
      </w:pPr>
      <w:r w:rsidRPr="006F5B94">
        <w:t xml:space="preserve">          Le colloque ambitionne d’apporter les éclaircissements nécessaires à la compréhension de cette problématique, de soulever les principales interrogations et de contribuer à la recherche de solutions permettant d’aboutir à une situation sereine et prometteuse en termes de rentabilité des dispositifs d’enseignement-apprentissage. </w:t>
      </w:r>
    </w:p>
    <w:p w:rsidR="007A1530" w:rsidRPr="006F5B94" w:rsidRDefault="007A1530" w:rsidP="007A1530">
      <w:pPr>
        <w:spacing w:after="0"/>
      </w:pPr>
      <w:r w:rsidRPr="006F5B94">
        <w:t>Quelques axes de réflexion :</w:t>
      </w:r>
    </w:p>
    <w:p w:rsidR="007A1530" w:rsidRPr="006F5B94" w:rsidRDefault="007A1530" w:rsidP="007A1530">
      <w:pPr>
        <w:spacing w:after="0" w:line="240" w:lineRule="auto"/>
        <w:rPr>
          <w:b/>
          <w:bCs/>
          <w:u w:val="single"/>
        </w:rPr>
      </w:pPr>
      <w:r w:rsidRPr="006F5B94">
        <w:rPr>
          <w:b/>
          <w:bCs/>
          <w:u w:val="single"/>
        </w:rPr>
        <w:t>Axe1 : problématiques générales</w:t>
      </w:r>
    </w:p>
    <w:p w:rsidR="007A1530" w:rsidRPr="006F5B94" w:rsidRDefault="007A1530" w:rsidP="007A1530">
      <w:pPr>
        <w:numPr>
          <w:ilvl w:val="0"/>
          <w:numId w:val="2"/>
        </w:numPr>
        <w:spacing w:after="0" w:line="240" w:lineRule="auto"/>
      </w:pPr>
      <w:r w:rsidRPr="006F5B94">
        <w:t>Gestion politique du multilinguisme</w:t>
      </w:r>
    </w:p>
    <w:p w:rsidR="007A1530" w:rsidRPr="006F5B94" w:rsidRDefault="007A1530" w:rsidP="007A1530">
      <w:pPr>
        <w:numPr>
          <w:ilvl w:val="0"/>
          <w:numId w:val="2"/>
        </w:numPr>
        <w:spacing w:after="0" w:line="240" w:lineRule="auto"/>
      </w:pPr>
      <w:r w:rsidRPr="006F5B94">
        <w:t xml:space="preserve">Les langues en présence au Maroc/ les langues du Maroc/ les langues au Maroc </w:t>
      </w:r>
    </w:p>
    <w:p w:rsidR="007A1530" w:rsidRPr="006F5B94" w:rsidRDefault="007A1530" w:rsidP="007A1530">
      <w:pPr>
        <w:numPr>
          <w:ilvl w:val="0"/>
          <w:numId w:val="2"/>
        </w:numPr>
        <w:spacing w:after="0" w:line="240" w:lineRule="auto"/>
      </w:pPr>
      <w:r>
        <w:t>P</w:t>
      </w:r>
      <w:r w:rsidRPr="006F5B94">
        <w:t>lurilinguisme et approches plurielles</w:t>
      </w:r>
    </w:p>
    <w:p w:rsidR="007A1530" w:rsidRPr="006F5B94" w:rsidRDefault="007A1530" w:rsidP="007A1530">
      <w:pPr>
        <w:numPr>
          <w:ilvl w:val="0"/>
          <w:numId w:val="2"/>
        </w:numPr>
        <w:spacing w:after="0" w:line="240" w:lineRule="auto"/>
      </w:pPr>
      <w:r w:rsidRPr="006F5B94">
        <w:t>Place du français dans le panorama multilingue marocain</w:t>
      </w:r>
    </w:p>
    <w:p w:rsidR="007A1530" w:rsidRPr="006F5B94" w:rsidRDefault="007A1530" w:rsidP="007A1530">
      <w:pPr>
        <w:numPr>
          <w:ilvl w:val="0"/>
          <w:numId w:val="2"/>
        </w:numPr>
        <w:spacing w:after="0" w:line="240" w:lineRule="auto"/>
      </w:pPr>
      <w:r w:rsidRPr="006F5B94">
        <w:t>Les représentations des différentes langues en présence dans le système éducatif</w:t>
      </w:r>
    </w:p>
    <w:p w:rsidR="007A1530" w:rsidRPr="006F5B94" w:rsidRDefault="007A1530" w:rsidP="007A1530">
      <w:pPr>
        <w:numPr>
          <w:ilvl w:val="0"/>
          <w:numId w:val="2"/>
        </w:numPr>
        <w:spacing w:after="0" w:line="240" w:lineRule="auto"/>
      </w:pPr>
      <w:r w:rsidRPr="006F5B94">
        <w:t xml:space="preserve">Contact ou conflit de langues au Maroc </w:t>
      </w:r>
    </w:p>
    <w:p w:rsidR="007A1530" w:rsidRPr="006F5B94" w:rsidRDefault="007A1530" w:rsidP="007A1530">
      <w:pPr>
        <w:numPr>
          <w:ilvl w:val="0"/>
          <w:numId w:val="2"/>
        </w:numPr>
        <w:spacing w:after="0" w:line="240" w:lineRule="auto"/>
      </w:pPr>
      <w:r w:rsidRPr="006F5B94">
        <w:lastRenderedPageBreak/>
        <w:t xml:space="preserve">Multilinguisme et enseignement du français dans les pays francophones (autres pays que le Maroc) </w:t>
      </w:r>
    </w:p>
    <w:p w:rsidR="007A1530" w:rsidRPr="006F5B94" w:rsidRDefault="007A1530" w:rsidP="007A1530">
      <w:pPr>
        <w:numPr>
          <w:ilvl w:val="0"/>
          <w:numId w:val="2"/>
        </w:numPr>
        <w:spacing w:after="0" w:line="240" w:lineRule="auto"/>
      </w:pPr>
      <w:r w:rsidRPr="006F5B94">
        <w:t>Plurilinguisme et intercompréhension</w:t>
      </w:r>
    </w:p>
    <w:p w:rsidR="007A1530" w:rsidRPr="006F5B94" w:rsidRDefault="007A1530" w:rsidP="007A1530">
      <w:pPr>
        <w:numPr>
          <w:ilvl w:val="0"/>
          <w:numId w:val="2"/>
        </w:numPr>
        <w:spacing w:after="0" w:line="240" w:lineRule="auto"/>
      </w:pPr>
      <w:r w:rsidRPr="006F5B94">
        <w:t>Rapports entre le français et l’arabe dans le système éducatif marocain</w:t>
      </w:r>
    </w:p>
    <w:p w:rsidR="007A1530" w:rsidRPr="006F5B94" w:rsidRDefault="007A1530" w:rsidP="007A1530">
      <w:pPr>
        <w:numPr>
          <w:ilvl w:val="0"/>
          <w:numId w:val="2"/>
        </w:numPr>
        <w:spacing w:after="0" w:line="240" w:lineRule="auto"/>
      </w:pPr>
      <w:r w:rsidRPr="006F5B94">
        <w:t>L’enseignement précoce des langues au Maroc et les langues de scolarisation</w:t>
      </w:r>
    </w:p>
    <w:p w:rsidR="007A1530" w:rsidRPr="006F5B94" w:rsidRDefault="007A1530" w:rsidP="007A1530">
      <w:pPr>
        <w:numPr>
          <w:ilvl w:val="0"/>
          <w:numId w:val="1"/>
        </w:numPr>
        <w:spacing w:after="0" w:line="240" w:lineRule="auto"/>
      </w:pPr>
      <w:r w:rsidRPr="006F5B94">
        <w:t>Le contact des langues dans les écoles marocaines (aspects sociolinguistiques, psycholinguistiques et culturels)</w:t>
      </w:r>
    </w:p>
    <w:p w:rsidR="007A1530" w:rsidRPr="006F5B94" w:rsidRDefault="007A1530" w:rsidP="007A1530">
      <w:pPr>
        <w:numPr>
          <w:ilvl w:val="0"/>
          <w:numId w:val="1"/>
        </w:numPr>
        <w:spacing w:after="0" w:line="240" w:lineRule="auto"/>
      </w:pPr>
      <w:r w:rsidRPr="006F5B94">
        <w:t>L’enseignement bilingue</w:t>
      </w:r>
    </w:p>
    <w:p w:rsidR="007A1530" w:rsidRPr="006F5B94" w:rsidRDefault="007A1530" w:rsidP="007A1530">
      <w:pPr>
        <w:numPr>
          <w:ilvl w:val="0"/>
          <w:numId w:val="1"/>
        </w:numPr>
        <w:spacing w:after="0" w:line="240" w:lineRule="auto"/>
      </w:pPr>
      <w:r w:rsidRPr="006F5B94">
        <w:t>Variété des contextes multilingues et enseignement du français (préscolaire, public, privé, rural, semi rural, urbain, etc.)</w:t>
      </w:r>
    </w:p>
    <w:p w:rsidR="007A1530" w:rsidRPr="006F5B94" w:rsidRDefault="007A1530" w:rsidP="007A1530">
      <w:pPr>
        <w:spacing w:after="0" w:line="240" w:lineRule="auto"/>
        <w:ind w:left="720"/>
      </w:pPr>
    </w:p>
    <w:p w:rsidR="007A1530" w:rsidRPr="006F5B94" w:rsidRDefault="007A1530" w:rsidP="007A1530">
      <w:pPr>
        <w:spacing w:after="0" w:line="240" w:lineRule="auto"/>
        <w:rPr>
          <w:b/>
          <w:bCs/>
          <w:u w:val="single"/>
        </w:rPr>
      </w:pPr>
      <w:r w:rsidRPr="006F5B94">
        <w:rPr>
          <w:b/>
          <w:bCs/>
          <w:u w:val="single"/>
        </w:rPr>
        <w:t>Axe2 : didactique et pédagogie</w:t>
      </w:r>
    </w:p>
    <w:p w:rsidR="007A1530" w:rsidRPr="006F5B94" w:rsidRDefault="007A1530" w:rsidP="007A1530">
      <w:pPr>
        <w:numPr>
          <w:ilvl w:val="0"/>
          <w:numId w:val="3"/>
        </w:numPr>
        <w:spacing w:after="0" w:line="240" w:lineRule="auto"/>
      </w:pPr>
      <w:r w:rsidRPr="006F5B94">
        <w:t>L’enseignement du français en contexte multilingue</w:t>
      </w:r>
    </w:p>
    <w:p w:rsidR="007A1530" w:rsidRPr="006F5B94" w:rsidRDefault="007A1530" w:rsidP="007A1530">
      <w:pPr>
        <w:numPr>
          <w:ilvl w:val="0"/>
          <w:numId w:val="3"/>
        </w:numPr>
        <w:spacing w:after="0" w:line="240" w:lineRule="auto"/>
      </w:pPr>
      <w:r w:rsidRPr="006F5B94">
        <w:t xml:space="preserve">Bilinguisme, multiculturalisme et interculturel : choix didactiques et pédagogiques </w:t>
      </w:r>
    </w:p>
    <w:p w:rsidR="007A1530" w:rsidRPr="006F5B94" w:rsidRDefault="007A1530" w:rsidP="007A1530">
      <w:pPr>
        <w:numPr>
          <w:ilvl w:val="0"/>
          <w:numId w:val="3"/>
        </w:numPr>
        <w:spacing w:after="0" w:line="240" w:lineRule="auto"/>
      </w:pPr>
      <w:r w:rsidRPr="006F5B94">
        <w:t xml:space="preserve">Apprentissage du français et altérité </w:t>
      </w:r>
    </w:p>
    <w:p w:rsidR="007A1530" w:rsidRPr="006F5B94" w:rsidRDefault="007A1530" w:rsidP="007A1530">
      <w:pPr>
        <w:numPr>
          <w:ilvl w:val="0"/>
          <w:numId w:val="3"/>
        </w:numPr>
        <w:spacing w:after="0" w:line="240" w:lineRule="auto"/>
      </w:pPr>
      <w:r w:rsidRPr="006F5B94">
        <w:t>Pour une intercompréhension entre les langues parentes enseignées</w:t>
      </w:r>
    </w:p>
    <w:p w:rsidR="007A1530" w:rsidRPr="006F5B94" w:rsidRDefault="007A1530" w:rsidP="007A1530">
      <w:pPr>
        <w:numPr>
          <w:ilvl w:val="0"/>
          <w:numId w:val="3"/>
        </w:numPr>
        <w:spacing w:after="0" w:line="240" w:lineRule="auto"/>
      </w:pPr>
      <w:r w:rsidRPr="006F5B94">
        <w:t xml:space="preserve">Quelle Interaction des langues à l’école et </w:t>
      </w:r>
      <w:r w:rsidRPr="003A78F1">
        <w:t>hors de</w:t>
      </w:r>
      <w:r>
        <w:t xml:space="preserve"> </w:t>
      </w:r>
      <w:r w:rsidRPr="006F5B94">
        <w:t>l’école marocaine ?</w:t>
      </w:r>
    </w:p>
    <w:p w:rsidR="007A1530" w:rsidRPr="006F5B94" w:rsidRDefault="007A1530" w:rsidP="007A1530">
      <w:pPr>
        <w:numPr>
          <w:ilvl w:val="0"/>
          <w:numId w:val="3"/>
        </w:numPr>
        <w:spacing w:after="0" w:line="240" w:lineRule="auto"/>
      </w:pPr>
      <w:r w:rsidRPr="006F5B94">
        <w:t>Quel travail sur les interférences en classe de français ?</w:t>
      </w:r>
    </w:p>
    <w:p w:rsidR="007A1530" w:rsidRPr="006F5B94" w:rsidRDefault="007A1530" w:rsidP="007A1530">
      <w:pPr>
        <w:numPr>
          <w:ilvl w:val="0"/>
          <w:numId w:val="3"/>
        </w:numPr>
        <w:spacing w:after="0" w:line="240" w:lineRule="auto"/>
      </w:pPr>
      <w:r w:rsidRPr="006F5B94">
        <w:t>L’alternance codique ou  code-</w:t>
      </w:r>
      <w:proofErr w:type="spellStart"/>
      <w:r w:rsidRPr="006F5B94">
        <w:t>switching</w:t>
      </w:r>
      <w:proofErr w:type="spellEnd"/>
      <w:r w:rsidRPr="006F5B94">
        <w:t xml:space="preserve">  chez les jeunes en situation scolaire</w:t>
      </w:r>
    </w:p>
    <w:p w:rsidR="007A1530" w:rsidRPr="006F5B94" w:rsidRDefault="007A1530" w:rsidP="007A1530">
      <w:pPr>
        <w:numPr>
          <w:ilvl w:val="0"/>
          <w:numId w:val="3"/>
        </w:numPr>
        <w:spacing w:after="0" w:line="240" w:lineRule="auto"/>
      </w:pPr>
      <w:r w:rsidRPr="006F5B94">
        <w:t xml:space="preserve">Vers (pour) un cadre marocain commun de référence pour l’enseignement des langues </w:t>
      </w:r>
    </w:p>
    <w:p w:rsidR="007A1530" w:rsidRPr="006F5B94" w:rsidRDefault="007A1530" w:rsidP="007A1530">
      <w:pPr>
        <w:numPr>
          <w:ilvl w:val="0"/>
          <w:numId w:val="3"/>
        </w:numPr>
        <w:spacing w:after="0" w:line="240" w:lineRule="auto"/>
      </w:pPr>
      <w:r w:rsidRPr="006F5B94">
        <w:t>La pédagogie convergente et la didactique intégrée (cas du français et des langues marocaines,  pour un développement des compétences plurilingues)</w:t>
      </w:r>
    </w:p>
    <w:p w:rsidR="007A1530" w:rsidRPr="006F5B94" w:rsidRDefault="007A1530" w:rsidP="007A1530">
      <w:pPr>
        <w:numPr>
          <w:ilvl w:val="0"/>
          <w:numId w:val="3"/>
        </w:numPr>
        <w:spacing w:after="0" w:line="240" w:lineRule="auto"/>
      </w:pPr>
      <w:r w:rsidRPr="006F5B94">
        <w:t>Le cours de traduction dans l’enseignement secondaire et son rapport avec le français</w:t>
      </w:r>
    </w:p>
    <w:p w:rsidR="007A1530" w:rsidRPr="006F5B94" w:rsidRDefault="007A1530" w:rsidP="007A1530">
      <w:pPr>
        <w:numPr>
          <w:ilvl w:val="0"/>
          <w:numId w:val="3"/>
        </w:numPr>
        <w:spacing w:after="0" w:line="240" w:lineRule="auto"/>
      </w:pPr>
      <w:r w:rsidRPr="006F5B94">
        <w:t>Multilinguisme, programmes et manuels scolaires</w:t>
      </w:r>
    </w:p>
    <w:p w:rsidR="007A1530" w:rsidRPr="003A78F1" w:rsidRDefault="007A1530" w:rsidP="007A1530">
      <w:pPr>
        <w:numPr>
          <w:ilvl w:val="0"/>
          <w:numId w:val="3"/>
        </w:numPr>
        <w:spacing w:after="0" w:line="240" w:lineRule="auto"/>
      </w:pPr>
      <w:r w:rsidRPr="003A78F1">
        <w:t>Quelle évaluation des acquis en contexte multilingue ?</w:t>
      </w:r>
    </w:p>
    <w:p w:rsidR="007A1530" w:rsidRPr="003A78F1" w:rsidRDefault="007A1530" w:rsidP="007A1530">
      <w:pPr>
        <w:numPr>
          <w:ilvl w:val="0"/>
          <w:numId w:val="3"/>
        </w:numPr>
        <w:spacing w:after="0" w:line="240" w:lineRule="auto"/>
      </w:pPr>
      <w:r w:rsidRPr="003A78F1">
        <w:t>Comment aborder une œuvre littéraire au confluent des langues ?</w:t>
      </w:r>
    </w:p>
    <w:p w:rsidR="007A1530" w:rsidRDefault="007A1530" w:rsidP="007A1530">
      <w:pPr>
        <w:spacing w:after="0" w:line="240" w:lineRule="auto"/>
        <w:rPr>
          <w:color w:val="0070C0"/>
        </w:rPr>
      </w:pPr>
    </w:p>
    <w:p w:rsidR="007A1530" w:rsidRPr="003A78F1" w:rsidRDefault="007A1530" w:rsidP="007A1530">
      <w:pPr>
        <w:pStyle w:val="Paragraphedeliste"/>
        <w:numPr>
          <w:ilvl w:val="0"/>
          <w:numId w:val="4"/>
        </w:numPr>
        <w:spacing w:after="0" w:line="240" w:lineRule="auto"/>
      </w:pPr>
      <w:r w:rsidRPr="003A78F1">
        <w:rPr>
          <w:u w:val="single"/>
        </w:rPr>
        <w:t>Dates importantes</w:t>
      </w:r>
      <w:r w:rsidRPr="003A78F1">
        <w:t> :</w:t>
      </w:r>
    </w:p>
    <w:p w:rsidR="007A1530" w:rsidRPr="006F3A2B" w:rsidRDefault="007A1530" w:rsidP="007A1530">
      <w:pPr>
        <w:pStyle w:val="Paragraphedeliste"/>
        <w:spacing w:after="0"/>
        <w:ind w:left="0"/>
      </w:pPr>
    </w:p>
    <w:p w:rsidR="007A1530" w:rsidRDefault="007A1530" w:rsidP="007A1530">
      <w:pPr>
        <w:pStyle w:val="Paragraphedeliste"/>
        <w:numPr>
          <w:ilvl w:val="0"/>
          <w:numId w:val="5"/>
        </w:numPr>
        <w:spacing w:after="0"/>
      </w:pPr>
      <w:r w:rsidRPr="006F3A2B">
        <w:t>Colloque : 17-18 novembre 2014.</w:t>
      </w:r>
    </w:p>
    <w:p w:rsidR="007A1530" w:rsidRDefault="007A1530" w:rsidP="007A1530">
      <w:pPr>
        <w:pStyle w:val="Paragraphedeliste"/>
        <w:numPr>
          <w:ilvl w:val="0"/>
          <w:numId w:val="5"/>
        </w:numPr>
        <w:spacing w:after="0" w:line="240" w:lineRule="auto"/>
      </w:pPr>
      <w:r w:rsidRPr="003A78F1">
        <w:t>Dernier délai pour soumettre une proposition de communication : 15 septembre 2014.</w:t>
      </w:r>
    </w:p>
    <w:p w:rsidR="007A1530" w:rsidRPr="00BC56FC" w:rsidRDefault="007A1530" w:rsidP="007A1530">
      <w:pPr>
        <w:pStyle w:val="Paragraphedeliste"/>
        <w:spacing w:after="0" w:line="240" w:lineRule="auto"/>
        <w:ind w:left="1080"/>
      </w:pPr>
      <w:r w:rsidRPr="00BC56FC">
        <w:t>(Un bref descriptif d’une demi</w:t>
      </w:r>
      <w:r>
        <w:t>-</w:t>
      </w:r>
      <w:r w:rsidRPr="00BC56FC">
        <w:t xml:space="preserve">page et une notice </w:t>
      </w:r>
      <w:proofErr w:type="spellStart"/>
      <w:r w:rsidRPr="00BC56FC">
        <w:t>bio-bibliographique</w:t>
      </w:r>
      <w:proofErr w:type="spellEnd"/>
      <w:r w:rsidRPr="00BC56FC">
        <w:t xml:space="preserve"> de l’intervenant)</w:t>
      </w:r>
    </w:p>
    <w:p w:rsidR="007A1530" w:rsidRPr="003A78F1" w:rsidRDefault="007A1530" w:rsidP="007A1530">
      <w:pPr>
        <w:pStyle w:val="Paragraphedeliste"/>
        <w:numPr>
          <w:ilvl w:val="0"/>
          <w:numId w:val="5"/>
        </w:numPr>
        <w:spacing w:after="0" w:line="240" w:lineRule="auto"/>
      </w:pPr>
      <w:r w:rsidRPr="003A78F1">
        <w:t>Réponse du comité scientifique : 30 septembre 2014.</w:t>
      </w:r>
    </w:p>
    <w:p w:rsidR="007A1530" w:rsidRDefault="007A1530" w:rsidP="007A1530">
      <w:pPr>
        <w:pStyle w:val="Paragraphedeliste"/>
        <w:numPr>
          <w:ilvl w:val="0"/>
          <w:numId w:val="5"/>
        </w:numPr>
        <w:spacing w:after="0" w:line="240" w:lineRule="auto"/>
      </w:pPr>
      <w:r w:rsidRPr="003A78F1">
        <w:t>Remise de la version définitive des articles pour publication des actes: avant le 16 décembre 2014</w:t>
      </w:r>
    </w:p>
    <w:p w:rsidR="007A1530" w:rsidRPr="006F3A2B" w:rsidRDefault="007A1530" w:rsidP="007A1530">
      <w:pPr>
        <w:pStyle w:val="Paragraphedeliste"/>
        <w:numPr>
          <w:ilvl w:val="0"/>
          <w:numId w:val="5"/>
        </w:numPr>
        <w:spacing w:after="0" w:line="240" w:lineRule="auto"/>
      </w:pPr>
      <w:r w:rsidRPr="00857286">
        <w:t xml:space="preserve">Les intervenants  retenus sont priés de confirmer leur participation </w:t>
      </w:r>
      <w:r>
        <w:t xml:space="preserve">avant le 30 octobre 2014, </w:t>
      </w:r>
      <w:r w:rsidRPr="00857286">
        <w:t>en précisant la logistique à mettre à leur disposition</w:t>
      </w:r>
      <w:r>
        <w:t>.</w:t>
      </w:r>
    </w:p>
    <w:p w:rsidR="007A1530" w:rsidRPr="003A78F1" w:rsidRDefault="007A1530" w:rsidP="007A1530">
      <w:pPr>
        <w:pStyle w:val="Paragraphedeliste"/>
        <w:spacing w:after="0" w:line="240" w:lineRule="auto"/>
        <w:ind w:left="1080"/>
      </w:pPr>
    </w:p>
    <w:p w:rsidR="007A1530" w:rsidRPr="003A78F1" w:rsidRDefault="007A1530" w:rsidP="007A1530">
      <w:pPr>
        <w:pStyle w:val="Paragraphedeliste"/>
        <w:numPr>
          <w:ilvl w:val="0"/>
          <w:numId w:val="4"/>
        </w:numPr>
        <w:spacing w:after="0" w:line="240" w:lineRule="auto"/>
      </w:pPr>
      <w:r w:rsidRPr="003A78F1">
        <w:rPr>
          <w:b/>
          <w:bCs/>
          <w:u w:val="single"/>
        </w:rPr>
        <w:t>Comité scientifique</w:t>
      </w:r>
      <w:r w:rsidRPr="003A78F1">
        <w:t> :</w:t>
      </w:r>
    </w:p>
    <w:p w:rsidR="007A1530" w:rsidRPr="003A78F1" w:rsidRDefault="007A1530" w:rsidP="007A1530">
      <w:pPr>
        <w:pStyle w:val="Paragraphedeliste"/>
        <w:numPr>
          <w:ilvl w:val="0"/>
          <w:numId w:val="3"/>
        </w:numPr>
        <w:spacing w:after="0" w:line="240" w:lineRule="auto"/>
      </w:pPr>
      <w:proofErr w:type="spellStart"/>
      <w:r w:rsidRPr="003A78F1">
        <w:t>Bahmade</w:t>
      </w:r>
      <w:proofErr w:type="spellEnd"/>
      <w:r w:rsidRPr="003A78F1">
        <w:t xml:space="preserve"> Malika</w:t>
      </w:r>
    </w:p>
    <w:p w:rsidR="007A1530" w:rsidRPr="003A78F1" w:rsidRDefault="007A1530" w:rsidP="007A1530">
      <w:pPr>
        <w:pStyle w:val="Paragraphedeliste"/>
        <w:numPr>
          <w:ilvl w:val="0"/>
          <w:numId w:val="3"/>
        </w:numPr>
        <w:spacing w:after="0" w:line="240" w:lineRule="auto"/>
      </w:pPr>
      <w:proofErr w:type="spellStart"/>
      <w:r w:rsidRPr="003A78F1">
        <w:t>Baïda</w:t>
      </w:r>
      <w:proofErr w:type="spellEnd"/>
      <w:r w:rsidRPr="003A78F1">
        <w:t xml:space="preserve"> Abdellah</w:t>
      </w:r>
    </w:p>
    <w:p w:rsidR="007A1530" w:rsidRPr="003A78F1" w:rsidRDefault="007A1530" w:rsidP="007A1530">
      <w:pPr>
        <w:pStyle w:val="Paragraphedeliste"/>
        <w:numPr>
          <w:ilvl w:val="0"/>
          <w:numId w:val="3"/>
        </w:numPr>
        <w:spacing w:after="0" w:line="240" w:lineRule="auto"/>
      </w:pPr>
      <w:proofErr w:type="spellStart"/>
      <w:r w:rsidRPr="003A78F1">
        <w:t>Benjeddi</w:t>
      </w:r>
      <w:proofErr w:type="spellEnd"/>
      <w:r w:rsidRPr="003A78F1">
        <w:t xml:space="preserve"> </w:t>
      </w:r>
      <w:proofErr w:type="spellStart"/>
      <w:r w:rsidRPr="003A78F1">
        <w:t>Touhami</w:t>
      </w:r>
      <w:proofErr w:type="spellEnd"/>
    </w:p>
    <w:p w:rsidR="007A1530" w:rsidRPr="003A78F1" w:rsidRDefault="007A1530" w:rsidP="007A1530">
      <w:pPr>
        <w:pStyle w:val="Paragraphedeliste"/>
        <w:numPr>
          <w:ilvl w:val="0"/>
          <w:numId w:val="3"/>
        </w:numPr>
        <w:spacing w:after="0" w:line="240" w:lineRule="auto"/>
      </w:pPr>
      <w:r w:rsidRPr="003A78F1">
        <w:t xml:space="preserve">El </w:t>
      </w:r>
      <w:proofErr w:type="spellStart"/>
      <w:r w:rsidRPr="003A78F1">
        <w:t>Bourkadi</w:t>
      </w:r>
      <w:proofErr w:type="spellEnd"/>
      <w:r w:rsidRPr="003A78F1">
        <w:t xml:space="preserve"> Khadija</w:t>
      </w:r>
    </w:p>
    <w:p w:rsidR="007A1530" w:rsidRPr="003A78F1" w:rsidRDefault="007A1530" w:rsidP="007A1530">
      <w:pPr>
        <w:spacing w:after="0" w:line="240" w:lineRule="auto"/>
      </w:pPr>
    </w:p>
    <w:p w:rsidR="007A1530" w:rsidRPr="003A78F1" w:rsidRDefault="007A1530" w:rsidP="007A1530">
      <w:pPr>
        <w:spacing w:after="0"/>
        <w:jc w:val="center"/>
      </w:pPr>
      <w:r w:rsidRPr="003A78F1">
        <w:rPr>
          <w:b/>
          <w:bCs/>
          <w:u w:val="single"/>
        </w:rPr>
        <w:t>Contacts </w:t>
      </w:r>
      <w:r w:rsidRPr="003A78F1">
        <w:t>:</w:t>
      </w:r>
    </w:p>
    <w:p w:rsidR="00DB5302" w:rsidRDefault="00121D54" w:rsidP="007A1530">
      <w:pPr>
        <w:spacing w:after="0" w:line="240" w:lineRule="auto"/>
        <w:jc w:val="center"/>
        <w:outlineLvl w:val="1"/>
        <w:rPr>
          <w:b/>
          <w:bCs/>
          <w:sz w:val="28"/>
          <w:szCs w:val="28"/>
        </w:rPr>
      </w:pPr>
      <w:hyperlink r:id="rId7" w:history="1">
        <w:proofErr w:type="spellStart"/>
        <w:r w:rsidR="007A1530" w:rsidRPr="003A78F1">
          <w:rPr>
            <w:rStyle w:val="Lienhypertexte"/>
            <w:rFonts w:cs="Arial"/>
          </w:rPr>
          <w:t>khadiel@gmail.com</w:t>
        </w:r>
        <w:proofErr w:type="spellEnd"/>
      </w:hyperlink>
      <w:r w:rsidR="007A1530" w:rsidRPr="003A78F1">
        <w:t xml:space="preserve"> ;  </w:t>
      </w:r>
      <w:hyperlink r:id="rId8" w:history="1">
        <w:proofErr w:type="spellStart"/>
        <w:r w:rsidR="007A1530" w:rsidRPr="003A78F1">
          <w:rPr>
            <w:rStyle w:val="Lienhypertexte"/>
            <w:rFonts w:cs="Arial"/>
          </w:rPr>
          <w:t>benjeddit@yahoo.fr</w:t>
        </w:r>
        <w:proofErr w:type="spellEnd"/>
      </w:hyperlink>
      <w:proofErr w:type="gramStart"/>
      <w:r w:rsidR="007A1530" w:rsidRPr="003A78F1">
        <w:t xml:space="preserve">  ;</w:t>
      </w:r>
      <w:proofErr w:type="gramEnd"/>
      <w:r w:rsidR="007A1530" w:rsidRPr="003A78F1">
        <w:t xml:space="preserve"> </w:t>
      </w:r>
      <w:hyperlink r:id="rId9" w:history="1">
        <w:proofErr w:type="spellStart"/>
        <w:r w:rsidR="007A1530" w:rsidRPr="003A78F1">
          <w:rPr>
            <w:rStyle w:val="Lienhypertexte"/>
            <w:rFonts w:cs="Arial"/>
          </w:rPr>
          <w:t>baidabdel@yahoo.fr</w:t>
        </w:r>
        <w:proofErr w:type="spellEnd"/>
      </w:hyperlink>
    </w:p>
    <w:p w:rsidR="00DB5302" w:rsidRPr="00DB5302" w:rsidRDefault="00DB5302" w:rsidP="007A1530">
      <w:pPr>
        <w:spacing w:after="0" w:line="240" w:lineRule="auto"/>
        <w:outlineLvl w:val="1"/>
        <w:rPr>
          <w:rFonts w:ascii="Times New Roman" w:eastAsia="Times New Roman" w:hAnsi="Times New Roman" w:cs="Times New Roman"/>
          <w:b/>
          <w:bCs/>
          <w:sz w:val="44"/>
          <w:szCs w:val="44"/>
          <w:lang w:eastAsia="fr-FR"/>
        </w:rPr>
      </w:pPr>
    </w:p>
    <w:p w:rsidR="007E2047" w:rsidRDefault="00121D54" w:rsidP="007A1530">
      <w:pPr>
        <w:spacing w:after="0"/>
      </w:pPr>
    </w:p>
    <w:sectPr w:rsidR="007E2047" w:rsidSect="00877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23C"/>
    <w:multiLevelType w:val="hybridMultilevel"/>
    <w:tmpl w:val="DF4E5DF0"/>
    <w:lvl w:ilvl="0" w:tplc="292260F4">
      <w:numFmt w:val="bullet"/>
      <w:lvlText w:val=""/>
      <w:lvlJc w:val="left"/>
      <w:pPr>
        <w:ind w:left="1080" w:hanging="360"/>
      </w:pPr>
      <w:rPr>
        <w:rFonts w:ascii="Wingdings" w:eastAsia="Times New Roman"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B43686B"/>
    <w:multiLevelType w:val="hybridMultilevel"/>
    <w:tmpl w:val="37121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A2A6E88"/>
    <w:multiLevelType w:val="hybridMultilevel"/>
    <w:tmpl w:val="433EF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437B93"/>
    <w:multiLevelType w:val="hybridMultilevel"/>
    <w:tmpl w:val="23D2A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DE1DB9"/>
    <w:multiLevelType w:val="hybridMultilevel"/>
    <w:tmpl w:val="7AEC4F54"/>
    <w:lvl w:ilvl="0" w:tplc="6F32381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02"/>
    <w:rsid w:val="000472F1"/>
    <w:rsid w:val="000749E8"/>
    <w:rsid w:val="00121D54"/>
    <w:rsid w:val="003B358E"/>
    <w:rsid w:val="00665F87"/>
    <w:rsid w:val="007A1530"/>
    <w:rsid w:val="0087743E"/>
    <w:rsid w:val="00DB53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43E"/>
  </w:style>
  <w:style w:type="paragraph" w:styleId="Titre2">
    <w:name w:val="heading 2"/>
    <w:basedOn w:val="Normal"/>
    <w:link w:val="Titre2Car"/>
    <w:uiPriority w:val="9"/>
    <w:qFormat/>
    <w:rsid w:val="00DB530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B5302"/>
    <w:rPr>
      <w:rFonts w:ascii="Times New Roman" w:eastAsia="Times New Roman" w:hAnsi="Times New Roman" w:cs="Times New Roman"/>
      <w:b/>
      <w:bCs/>
      <w:sz w:val="36"/>
      <w:szCs w:val="36"/>
      <w:lang w:eastAsia="fr-FR"/>
    </w:rPr>
  </w:style>
  <w:style w:type="table" w:styleId="Grille">
    <w:name w:val="Table Grid"/>
    <w:basedOn w:val="TableauNormal"/>
    <w:uiPriority w:val="59"/>
    <w:rsid w:val="00DB53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B53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5302"/>
    <w:rPr>
      <w:rFonts w:ascii="Tahoma" w:hAnsi="Tahoma" w:cs="Tahoma"/>
      <w:sz w:val="16"/>
      <w:szCs w:val="16"/>
    </w:rPr>
  </w:style>
  <w:style w:type="paragraph" w:styleId="Paragraphedeliste">
    <w:name w:val="List Paragraph"/>
    <w:basedOn w:val="Normal"/>
    <w:uiPriority w:val="99"/>
    <w:qFormat/>
    <w:rsid w:val="007A1530"/>
    <w:pPr>
      <w:ind w:left="720"/>
      <w:contextualSpacing/>
    </w:pPr>
    <w:rPr>
      <w:rFonts w:ascii="Calibri" w:eastAsia="Calibri" w:hAnsi="Calibri" w:cs="Arial"/>
    </w:rPr>
  </w:style>
  <w:style w:type="character" w:styleId="Lienhypertexte">
    <w:name w:val="Hyperlink"/>
    <w:basedOn w:val="Policepardfaut"/>
    <w:uiPriority w:val="99"/>
    <w:rsid w:val="007A1530"/>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43E"/>
  </w:style>
  <w:style w:type="paragraph" w:styleId="Titre2">
    <w:name w:val="heading 2"/>
    <w:basedOn w:val="Normal"/>
    <w:link w:val="Titre2Car"/>
    <w:uiPriority w:val="9"/>
    <w:qFormat/>
    <w:rsid w:val="00DB530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B5302"/>
    <w:rPr>
      <w:rFonts w:ascii="Times New Roman" w:eastAsia="Times New Roman" w:hAnsi="Times New Roman" w:cs="Times New Roman"/>
      <w:b/>
      <w:bCs/>
      <w:sz w:val="36"/>
      <w:szCs w:val="36"/>
      <w:lang w:eastAsia="fr-FR"/>
    </w:rPr>
  </w:style>
  <w:style w:type="table" w:styleId="Grille">
    <w:name w:val="Table Grid"/>
    <w:basedOn w:val="TableauNormal"/>
    <w:uiPriority w:val="59"/>
    <w:rsid w:val="00DB53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B53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5302"/>
    <w:rPr>
      <w:rFonts w:ascii="Tahoma" w:hAnsi="Tahoma" w:cs="Tahoma"/>
      <w:sz w:val="16"/>
      <w:szCs w:val="16"/>
    </w:rPr>
  </w:style>
  <w:style w:type="paragraph" w:styleId="Paragraphedeliste">
    <w:name w:val="List Paragraph"/>
    <w:basedOn w:val="Normal"/>
    <w:uiPriority w:val="99"/>
    <w:qFormat/>
    <w:rsid w:val="007A1530"/>
    <w:pPr>
      <w:ind w:left="720"/>
      <w:contextualSpacing/>
    </w:pPr>
    <w:rPr>
      <w:rFonts w:ascii="Calibri" w:eastAsia="Calibri" w:hAnsi="Calibri" w:cs="Arial"/>
    </w:rPr>
  </w:style>
  <w:style w:type="character" w:styleId="Lienhypertexte">
    <w:name w:val="Hyperlink"/>
    <w:basedOn w:val="Policepardfaut"/>
    <w:uiPriority w:val="99"/>
    <w:rsid w:val="007A153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9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khadiel@gmail.com" TargetMode="External"/><Relationship Id="rId8" Type="http://schemas.openxmlformats.org/officeDocument/2006/relationships/hyperlink" Target="mailto:benjeddit@yahoo.fr" TargetMode="External"/><Relationship Id="rId9" Type="http://schemas.openxmlformats.org/officeDocument/2006/relationships/hyperlink" Target="mailto:baidabdel@yahoo.f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4620</Characters>
  <Application>Microsoft Macintosh Word</Application>
  <DocSecurity>0</DocSecurity>
  <Lines>38</Lines>
  <Paragraphs>10</Paragraphs>
  <ScaleCrop>false</ScaleCrop>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temara</dc:creator>
  <cp:lastModifiedBy>Viviane Youx</cp:lastModifiedBy>
  <cp:revision>2</cp:revision>
  <dcterms:created xsi:type="dcterms:W3CDTF">2014-07-25T04:38:00Z</dcterms:created>
  <dcterms:modified xsi:type="dcterms:W3CDTF">2014-07-25T04:38:00Z</dcterms:modified>
</cp:coreProperties>
</file>