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5ACF" w14:textId="77777777" w:rsidR="007C1217" w:rsidRDefault="00B94FA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E6BFCF2" wp14:editId="6FD3BC68">
            <wp:simplePos x="0" y="0"/>
            <wp:positionH relativeFrom="margin">
              <wp:posOffset>-88265</wp:posOffset>
            </wp:positionH>
            <wp:positionV relativeFrom="margin">
              <wp:posOffset>31750</wp:posOffset>
            </wp:positionV>
            <wp:extent cx="956310" cy="1541145"/>
            <wp:effectExtent l="19050" t="0" r="0" b="0"/>
            <wp:wrapSquare wrapText="bothSides"/>
            <wp:docPr id="1" name="Image 1" descr="Qui a peur des mathématique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 a peur des mathématiques 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SIETY Anne – </w:t>
      </w:r>
      <w:r w:rsidR="00C221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Qui a peur des mathématiques ?</w:t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599F">
        <w:rPr>
          <w:rFonts w:ascii="Times New Roman" w:eastAsia="Times New Roman" w:hAnsi="Times New Roman" w:cs="Times New Roman"/>
          <w:sz w:val="24"/>
          <w:szCs w:val="24"/>
          <w:lang w:eastAsia="fr-FR"/>
        </w:rPr>
        <w:t>©</w:t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éditions Denoël 2012</w:t>
      </w:r>
      <w:r w:rsidR="00F6599F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2013 pour la </w:t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>coll. Le Livre de Poche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C22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n°33081 – 298 pages – ISBN 978-2-253-16695-5</w:t>
      </w:r>
    </w:p>
    <w:p w14:paraId="48CE6461" w14:textId="10B6A4D1" w:rsidR="009E1450" w:rsidRDefault="00C2219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a peur des mathématiques ? Moi, sans hésitation. Par elles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j’ai appris très tôt comment un esprit peut être aussi fermé que la plus costaude des huîtres sauvages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par elles, je me suis retrouvée en larmes, à cinquante ans passés, dans un groupe de militants des </w:t>
      </w:r>
      <w:r w:rsidR="006372B1" w:rsidRPr="00F6599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Cahiers Pédagogiques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ce qu’il y a de plus bienveillant, dépitée –</w:t>
      </w:r>
      <w:r w:rsidR="00F659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>alors que quelques secondes auparavant je croyais m’être correctement sort</w:t>
      </w:r>
      <w:r w:rsidR="00F6599F">
        <w:rPr>
          <w:rFonts w:ascii="Times New Roman" w:eastAsia="Times New Roman" w:hAnsi="Times New Roman" w:cs="Times New Roman"/>
          <w:sz w:val="24"/>
          <w:szCs w:val="24"/>
          <w:lang w:eastAsia="fr-FR"/>
        </w:rPr>
        <w:t>ie d’une « situation-problème » -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découvrir que le « bon »</w:t>
      </w:r>
      <w:r w:rsidR="004B15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raisonnement, le raisonnement « élégant », conforme à la pensée mathématique, restait hermétique pour moi. </w:t>
      </w:r>
      <w:r w:rsidR="009E1450">
        <w:rPr>
          <w:rFonts w:ascii="Times New Roman" w:eastAsia="Times New Roman" w:hAnsi="Times New Roman" w:cs="Times New Roman"/>
          <w:sz w:val="24"/>
          <w:szCs w:val="24"/>
          <w:lang w:eastAsia="fr-FR"/>
        </w:rPr>
        <w:t>Mais il est notoire que ce qui effraie, comme le grand méchant loup, fascine…</w:t>
      </w:r>
      <w:r w:rsidR="003048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Alors, pour progresser dans un travail d’équipe sur les compétences linguistiques, je me suis laissé aller à des lectures de vacances inhabituelles et je n’ai pas été déçue.</w:t>
      </w:r>
    </w:p>
    <w:p w14:paraId="30EDCB62" w14:textId="77777777" w:rsidR="00790C89" w:rsidRDefault="009E145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livre est d’une lecture a</w:t>
      </w:r>
      <w:r w:rsidR="001D2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isée, souvent même passionnante. Les citations littéraires, nombreuses et variées (Hugo, Prévert, Baudelaire, Fred Vargas, </w:t>
      </w:r>
      <w:proofErr w:type="spellStart"/>
      <w:proofErr w:type="gramStart"/>
      <w:r w:rsidR="001D20A0">
        <w:rPr>
          <w:rFonts w:ascii="Times New Roman" w:eastAsia="Times New Roman" w:hAnsi="Times New Roman" w:cs="Times New Roman"/>
          <w:sz w:val="24"/>
          <w:szCs w:val="24"/>
          <w:lang w:eastAsia="fr-FR"/>
        </w:rPr>
        <w:t>Winckler</w:t>
      </w:r>
      <w:proofErr w:type="spellEnd"/>
      <w:r w:rsidR="001D20A0">
        <w:rPr>
          <w:rFonts w:ascii="Times New Roman" w:eastAsia="Times New Roman" w:hAnsi="Times New Roman" w:cs="Times New Roman"/>
          <w:sz w:val="24"/>
          <w:szCs w:val="24"/>
          <w:lang w:eastAsia="fr-FR"/>
        </w:rPr>
        <w:t>…)</w:t>
      </w:r>
      <w:proofErr w:type="gramEnd"/>
      <w:r w:rsidR="001D2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sont pas de simples ornements : inaugurant chaque chapitre et même chaque sous-partie, elles permettent une expression plus sensible des problématiques.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questions qu’il pose en un préambule et quatre parties </w:t>
      </w:r>
      <w:r w:rsidR="00CE4F0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r w:rsidR="00637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E4F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essentielles pour tout pédagogue, quelle que soit sa discipline, dès lors qu’il ne se résigne pas à l’échec scolaire. </w:t>
      </w:r>
    </w:p>
    <w:p w14:paraId="2DA048E4" w14:textId="77777777" w:rsidR="00C22196" w:rsidRDefault="00CE4F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L’auteure, psychopédagogue spécialisée en mathématique, pose d’abord la question du « travail, remède ou illusion ? » Partant du constat que parents et enseignants</w:t>
      </w:r>
      <w:r w:rsidR="00655875">
        <w:rPr>
          <w:rFonts w:ascii="Times New Roman" w:eastAsia="Times New Roman" w:hAnsi="Times New Roman" w:cs="Times New Roman"/>
          <w:sz w:val="24"/>
          <w:szCs w:val="24"/>
          <w:lang w:eastAsia="fr-FR"/>
        </w:rPr>
        <w:t>, confrontés aux difficultés</w:t>
      </w:r>
      <w:r w:rsidR="003048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scolaires,</w:t>
      </w:r>
      <w:r w:rsidR="00655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répondent en incitant à travailler plus, elle démontre, exemples à l’appui que « Pour nombre d’élèves, ce n’est pas le manque de travail qui génère le blocage : </w:t>
      </w:r>
      <w:r w:rsidR="0065587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blocage réside, précisément, dans une impossibilité massive, incoercible, de se mettre au travail.</w:t>
      </w:r>
      <w:r w:rsidR="00655875">
        <w:rPr>
          <w:rFonts w:ascii="Times New Roman" w:eastAsia="Times New Roman" w:hAnsi="Times New Roman" w:cs="Times New Roman"/>
          <w:sz w:val="24"/>
          <w:szCs w:val="24"/>
          <w:lang w:eastAsia="fr-FR"/>
        </w:rPr>
        <w:t> » (p. 46)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655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Contrairement à ce qu’affirme Anne SIETY, pour qui « Le terme de blocage […] semble exclusivement consacré aux difficultés en mathématiques » (p. 52), </w:t>
      </w:r>
      <w:r w:rsidR="00BD092F">
        <w:rPr>
          <w:rFonts w:ascii="Times New Roman" w:eastAsia="Times New Roman" w:hAnsi="Times New Roman" w:cs="Times New Roman"/>
          <w:sz w:val="24"/>
          <w:szCs w:val="24"/>
          <w:lang w:eastAsia="fr-FR"/>
        </w:rPr>
        <w:t>la même analyse pourrait être faite de certaines impossibilités terriblement culpabilisantes et douloureuses, d’entrer en littératie –en lecture</w:t>
      </w:r>
      <w:r w:rsidR="009A6D3E">
        <w:rPr>
          <w:rStyle w:val="Marque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1"/>
      </w:r>
      <w:r w:rsidR="00BD09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en écriture.</w:t>
      </w:r>
      <w:r w:rsidR="00790C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impossibilité à se mettre au travail est la « première porte fermée des mathématiques », dont la seconde est au contraire un hyper</w:t>
      </w:r>
      <w:r w:rsidR="0030484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790C89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activisme, un engluement dans un « faire » (des exercices) fondé sur une représentation de l’apprentissage comme fruit de la répétition et de la mémorisation de techniques, de théorèmes maison, de recettes qui sont autant d’obstacles à l’entrée dans une discipline, autant d’écrans à la compréhension : « Ces élèves sont presque tous réticents à accepter une approche fondée sur la compréhension et le raisonnement […] Presque tous se montrent en réalité, très sceptiques quant à l’existence d’un autre mo</w:t>
      </w:r>
      <w:r w:rsidR="009A6D3E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790C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travail</w:t>
      </w:r>
      <w:r w:rsidR="009A6D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 leur, au point de refuser plus ou moins ouvertement de l’envisager. » (p. 98) </w:t>
      </w:r>
      <w:r w:rsidR="00FE19C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Anne SIETY, ces élèves se réfèrent tous à un modèle sportif du trava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comme entrainement. Certes. </w:t>
      </w:r>
      <w:proofErr w:type="gramStart"/>
      <w:r w:rsidR="009321B0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FE19C7">
        <w:rPr>
          <w:rFonts w:ascii="Times New Roman" w:eastAsia="Times New Roman" w:hAnsi="Times New Roman" w:cs="Times New Roman"/>
          <w:sz w:val="24"/>
          <w:szCs w:val="24"/>
          <w:lang w:eastAsia="fr-FR"/>
        </w:rPr>
        <w:t>orce</w:t>
      </w:r>
      <w:proofErr w:type="gramEnd"/>
      <w:r w:rsidR="00FE1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de constater qu’on trouve aussi de tels comportements chez les élèves suivis par Stéphane BONNERY</w:t>
      </w:r>
      <w:r w:rsidR="00A05C14">
        <w:rPr>
          <w:rStyle w:val="Marque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2"/>
      </w:r>
      <w:r w:rsidR="00A05C14">
        <w:rPr>
          <w:rFonts w:ascii="Times New Roman" w:eastAsia="Times New Roman" w:hAnsi="Times New Roman" w:cs="Times New Roman"/>
          <w:sz w:val="24"/>
          <w:szCs w:val="24"/>
          <w:lang w:eastAsia="fr-FR"/>
        </w:rPr>
        <w:t>. Il y a lieu de penser que de tels comportements peuvent bien sûr être liés à une histoire individuelle, particulièrement lorsqu’ils n’affectent qu’une seule matière, mais l’hypothèse de la prégnance d’un tel rapport au savoir dans les classes populaire</w:t>
      </w:r>
      <w:r w:rsidR="0030484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05C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mérite d’être examinée et, à partir des pistes d’Anne SIETY concernant les mathématiques, les équipes pédagogiques peuvent explorer des voies permettant d’accompagner ces élèves sur le chemin de la compréhension.</w:t>
      </w:r>
    </w:p>
    <w:p w14:paraId="791927F2" w14:textId="343BF6EB" w:rsidR="00396BC7" w:rsidRDefault="00023FE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situations rapportées sont l’occasion d’une interrogation en pr</w:t>
      </w:r>
      <w:r w:rsidR="00815E0D">
        <w:rPr>
          <w:rFonts w:ascii="Times New Roman" w:eastAsia="Times New Roman" w:hAnsi="Times New Roman" w:cs="Times New Roman"/>
          <w:sz w:val="24"/>
          <w:szCs w:val="24"/>
          <w:lang w:eastAsia="fr-FR"/>
        </w:rPr>
        <w:t>ofondeur du langage mathématique pour expliciter « L’inquiétante étrangeté des mathématiques » -</w:t>
      </w:r>
      <w:r w:rsidR="003F7A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le dit </w:t>
      </w:r>
      <w:r w:rsidR="00815E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titre de la seconde partie. Très beau travail sur le « français langue de scolarisation » (FLS) qui </w:t>
      </w:r>
      <w:r w:rsidR="00C00F68">
        <w:rPr>
          <w:rFonts w:ascii="Times New Roman" w:eastAsia="Times New Roman" w:hAnsi="Times New Roman" w:cs="Times New Roman"/>
          <w:sz w:val="24"/>
          <w:szCs w:val="24"/>
          <w:lang w:eastAsia="fr-FR"/>
        </w:rPr>
        <w:t>interroge la polysémie lexicale e</w:t>
      </w:r>
      <w:r w:rsidR="00815E0D">
        <w:rPr>
          <w:rFonts w:ascii="Times New Roman" w:eastAsia="Times New Roman" w:hAnsi="Times New Roman" w:cs="Times New Roman"/>
          <w:sz w:val="24"/>
          <w:szCs w:val="24"/>
          <w:lang w:eastAsia="fr-FR"/>
        </w:rPr>
        <w:t>t montre comment les mathématiques sont un</w:t>
      </w:r>
      <w:r w:rsidR="00EC7F85">
        <w:rPr>
          <w:rFonts w:ascii="Times New Roman" w:eastAsia="Times New Roman" w:hAnsi="Times New Roman" w:cs="Times New Roman"/>
          <w:sz w:val="24"/>
          <w:szCs w:val="24"/>
          <w:lang w:eastAsia="fr-FR"/>
        </w:rPr>
        <w:t>e discipline elliptique</w:t>
      </w:r>
      <w:r w:rsidR="00C00F68">
        <w:rPr>
          <w:rFonts w:ascii="Times New Roman" w:eastAsia="Times New Roman" w:hAnsi="Times New Roman" w:cs="Times New Roman"/>
          <w:sz w:val="24"/>
          <w:szCs w:val="24"/>
          <w:lang w:eastAsia="fr-FR"/>
        </w:rPr>
        <w:t>. La réflexion que la psychopédagogue développe sur des formules mathématiques mériterait d’être prolongée par d’autres, dans d’autres disciplines, par exemple sur les phénomènes anaphoriques, ou sur les implicites.</w:t>
      </w:r>
    </w:p>
    <w:p w14:paraId="551E55F1" w14:textId="77777777" w:rsidR="00B65FC3" w:rsidRDefault="00B65FC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aussi transférable est la réflexion qui, dans la troisième partie intitulée </w:t>
      </w:r>
      <w:r w:rsidR="00B107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la question du temps volé », </w:t>
      </w:r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>approfondit</w:t>
      </w:r>
      <w:r w:rsidR="00B107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>a critique d</w:t>
      </w:r>
      <w:r w:rsidR="00A04FA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A04FAD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107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didactiquement correct » </w:t>
      </w:r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>qui accélère le temps des apprentissages, entrainant la  « [d]</w:t>
      </w:r>
      <w:proofErr w:type="spellStart"/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>isparition</w:t>
      </w:r>
      <w:bookmarkStart w:id="0" w:name="_GoBack"/>
      <w:bookmarkEnd w:id="0"/>
      <w:proofErr w:type="spellEnd"/>
      <w:r w:rsidR="004B5F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[…] de tout lien logique entre deux temps d’un raisonnement, [et] donne l’impression que le passage d’une étape à l’autre relève de la plus pure magie » (p. 160), qui fait de toute étape d’un enseignement un « pré-requis » vite considéré comme nécessairement « pré-acquis ». </w:t>
      </w:r>
      <w:r w:rsidR="00D759DE">
        <w:rPr>
          <w:rFonts w:ascii="Times New Roman" w:eastAsia="Times New Roman" w:hAnsi="Times New Roman" w:cs="Times New Roman"/>
          <w:sz w:val="24"/>
          <w:szCs w:val="24"/>
          <w:lang w:eastAsia="fr-FR"/>
        </w:rPr>
        <w:t>« “De tête” : le calcul est “mental”, les étapes du raisonnement sont “sautées”, les étapes, snobées sont parfois qualifiées de “triviales”… (p. 177) Et l’auteure de développer l’intérêt de « Penser à l’écrit »</w:t>
      </w:r>
      <w:r w:rsidR="00D759DE">
        <w:rPr>
          <w:rStyle w:val="Marque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3"/>
      </w:r>
      <w:r w:rsidR="009E7447">
        <w:rPr>
          <w:rFonts w:ascii="Times New Roman" w:eastAsia="Times New Roman" w:hAnsi="Times New Roman" w:cs="Times New Roman"/>
          <w:sz w:val="24"/>
          <w:szCs w:val="24"/>
          <w:lang w:eastAsia="fr-FR"/>
        </w:rPr>
        <w:t> : « Écrire, c’est prendre un peu de distance, déposer ses idées, l’une après l’autre, pour en bénéficier sans s’encombrer l’esprit, et continuer à élaborer. Écrire le détail d’un raisonnement mathématique permet de l’élaborer avec rigueur, sans s’y perdre, et en se donnant la possibilité de le relire sans avoir à chaque fois tout à reconstruire. […] » (p. 178). La question du temps nécessaire aux apprentissages</w:t>
      </w:r>
      <w:r w:rsidR="00EF49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et que l’institution a tendance à nier dans l’élaboration des programmes et prescriptions – </w:t>
      </w:r>
      <w:r w:rsidR="007904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aussi centrale dans les préoccupations de l’AFEF, avec le même objectif : ne pas se contenter de notions absorbées au prix d’efforts très importants et pénibles, mais </w:t>
      </w:r>
      <w:r w:rsidR="00A04FAD">
        <w:rPr>
          <w:rFonts w:ascii="Times New Roman" w:eastAsia="Times New Roman" w:hAnsi="Times New Roman" w:cs="Times New Roman"/>
          <w:sz w:val="24"/>
          <w:szCs w:val="24"/>
          <w:lang w:eastAsia="fr-FR"/>
        </w:rPr>
        <w:t>que les élèves n’assimilent pas</w:t>
      </w:r>
      <w:r w:rsidR="007904B2">
        <w:rPr>
          <w:rFonts w:ascii="Times New Roman" w:eastAsia="Times New Roman" w:hAnsi="Times New Roman" w:cs="Times New Roman"/>
          <w:sz w:val="24"/>
          <w:szCs w:val="24"/>
          <w:lang w:eastAsia="fr-FR"/>
        </w:rPr>
        <w:t>. « Ce mode d’apprentissage permet, à force de mémoire, de réussir quelques exercices sommaires. Mais, sans réelle compréhension, ces connaissances plaquées ne permettent pas d’entrer réellement dans les mathématiques [ou la langue, l’histoire, la chimie…] » (p. 215).</w:t>
      </w:r>
    </w:p>
    <w:p w14:paraId="07D3CF1A" w14:textId="77777777" w:rsidR="007904B2" w:rsidRDefault="001D20A0">
      <w:pPr>
        <w:rPr>
          <w:rFonts w:ascii="Times New Roman" w:hAnsi="Times New Roman" w:cs="Times New Roman"/>
          <w:sz w:val="24"/>
        </w:rPr>
      </w:pPr>
      <w:r w:rsidRPr="00EF49EC">
        <w:rPr>
          <w:rFonts w:ascii="Times New Roman" w:hAnsi="Times New Roman" w:cs="Times New Roman"/>
          <w:sz w:val="24"/>
        </w:rPr>
        <w:t xml:space="preserve">On peut reprocher à </w:t>
      </w:r>
      <w:r w:rsidRPr="00EF49EC">
        <w:rPr>
          <w:rFonts w:ascii="Times New Roman" w:hAnsi="Times New Roman" w:cs="Times New Roman"/>
          <w:i/>
          <w:sz w:val="24"/>
        </w:rPr>
        <w:t xml:space="preserve">Qui a peur des mathématiques ? </w:t>
      </w:r>
      <w:proofErr w:type="gramStart"/>
      <w:r w:rsidRPr="00EF49EC">
        <w:rPr>
          <w:rFonts w:ascii="Times New Roman" w:hAnsi="Times New Roman" w:cs="Times New Roman"/>
          <w:sz w:val="24"/>
        </w:rPr>
        <w:t>une</w:t>
      </w:r>
      <w:proofErr w:type="gramEnd"/>
      <w:r w:rsidRPr="00EF49EC">
        <w:rPr>
          <w:rFonts w:ascii="Times New Roman" w:hAnsi="Times New Roman" w:cs="Times New Roman"/>
          <w:sz w:val="24"/>
        </w:rPr>
        <w:t xml:space="preserve"> centration tellement exclusive sur cette discipline qu’Anne SIETY en </w:t>
      </w:r>
      <w:r w:rsidR="00EF49EC" w:rsidRPr="00EF49EC">
        <w:rPr>
          <w:rFonts w:ascii="Times New Roman" w:hAnsi="Times New Roman" w:cs="Times New Roman"/>
          <w:sz w:val="24"/>
        </w:rPr>
        <w:t>vient à présenter comme réservé</w:t>
      </w:r>
      <w:r w:rsidRPr="00EF49EC">
        <w:rPr>
          <w:rFonts w:ascii="Times New Roman" w:hAnsi="Times New Roman" w:cs="Times New Roman"/>
          <w:sz w:val="24"/>
        </w:rPr>
        <w:t xml:space="preserve">s aux mathématiques des </w:t>
      </w:r>
      <w:r w:rsidR="00EF49EC" w:rsidRPr="00EF49EC">
        <w:rPr>
          <w:rFonts w:ascii="Times New Roman" w:hAnsi="Times New Roman" w:cs="Times New Roman"/>
          <w:sz w:val="24"/>
        </w:rPr>
        <w:t>problèmes qui, Serge BOIMARE</w:t>
      </w:r>
      <w:r w:rsidR="00EF49EC">
        <w:rPr>
          <w:rStyle w:val="Marquedenotedefin"/>
          <w:rFonts w:ascii="Times New Roman" w:hAnsi="Times New Roman" w:cs="Times New Roman"/>
          <w:sz w:val="24"/>
        </w:rPr>
        <w:endnoteReference w:id="4"/>
      </w:r>
      <w:r w:rsidR="00EF49EC" w:rsidRPr="00EF49EC">
        <w:rPr>
          <w:rFonts w:ascii="Times New Roman" w:hAnsi="Times New Roman" w:cs="Times New Roman"/>
          <w:sz w:val="24"/>
        </w:rPr>
        <w:t xml:space="preserve"> l’a démontré, concernent plus largement les apprentissages.</w:t>
      </w:r>
      <w:r w:rsidR="00EF49EC">
        <w:rPr>
          <w:rFonts w:ascii="Times New Roman" w:hAnsi="Times New Roman" w:cs="Times New Roman"/>
          <w:sz w:val="24"/>
        </w:rPr>
        <w:t xml:space="preserve"> Toutefois cela permet de ramener à leur juste place, sans les nier,</w:t>
      </w:r>
      <w:r w:rsidR="00123927">
        <w:rPr>
          <w:rFonts w:ascii="Times New Roman" w:hAnsi="Times New Roman" w:cs="Times New Roman"/>
          <w:sz w:val="24"/>
        </w:rPr>
        <w:t xml:space="preserve"> </w:t>
      </w:r>
      <w:r w:rsidR="00EF49EC">
        <w:rPr>
          <w:rFonts w:ascii="Times New Roman" w:hAnsi="Times New Roman" w:cs="Times New Roman"/>
          <w:sz w:val="24"/>
        </w:rPr>
        <w:t xml:space="preserve">les lectures psychologisantes et </w:t>
      </w:r>
      <w:proofErr w:type="spellStart"/>
      <w:r w:rsidR="00EF49EC">
        <w:rPr>
          <w:rFonts w:ascii="Times New Roman" w:hAnsi="Times New Roman" w:cs="Times New Roman"/>
          <w:sz w:val="24"/>
        </w:rPr>
        <w:t>individualisantes</w:t>
      </w:r>
      <w:proofErr w:type="spellEnd"/>
      <w:r w:rsidR="00123927">
        <w:rPr>
          <w:rFonts w:ascii="Times New Roman" w:hAnsi="Times New Roman" w:cs="Times New Roman"/>
          <w:sz w:val="24"/>
        </w:rPr>
        <w:t xml:space="preserve"> des difficultés scolaires, pour mettre à jour ce qui se joue dans les choix didactiques et pédagogiques, institutionnels et disciplinaires.</w:t>
      </w:r>
    </w:p>
    <w:p w14:paraId="63BCD609" w14:textId="77777777" w:rsidR="009E79A9" w:rsidRPr="00EF49EC" w:rsidRDefault="001239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seconde limite tient aux caractéristiques sociologiques du public qui fréquente son cabinet. En grossissant le trait, mais parce que cette information revient souvent</w:t>
      </w:r>
      <w:r w:rsidR="00A94CB1">
        <w:rPr>
          <w:rFonts w:ascii="Times New Roman" w:hAnsi="Times New Roman" w:cs="Times New Roman"/>
          <w:sz w:val="24"/>
        </w:rPr>
        <w:t xml:space="preserve"> comme une sorte de caution morale,</w:t>
      </w:r>
      <w:r w:rsidR="00A04FAD">
        <w:rPr>
          <w:rFonts w:ascii="Times New Roman" w:hAnsi="Times New Roman" w:cs="Times New Roman"/>
          <w:sz w:val="24"/>
        </w:rPr>
        <w:t xml:space="preserve"> on constate</w:t>
      </w:r>
      <w:r w:rsidR="00A94CB1">
        <w:rPr>
          <w:rFonts w:ascii="Times New Roman" w:hAnsi="Times New Roman" w:cs="Times New Roman"/>
          <w:sz w:val="24"/>
        </w:rPr>
        <w:t xml:space="preserve"> </w:t>
      </w:r>
      <w:r w:rsidR="00A04FAD">
        <w:rPr>
          <w:rFonts w:ascii="Times New Roman" w:hAnsi="Times New Roman" w:cs="Times New Roman"/>
          <w:sz w:val="24"/>
        </w:rPr>
        <w:t>qu’</w:t>
      </w:r>
      <w:r w:rsidR="00A94CB1">
        <w:rPr>
          <w:rFonts w:ascii="Times New Roman" w:hAnsi="Times New Roman" w:cs="Times New Roman"/>
          <w:sz w:val="24"/>
        </w:rPr>
        <w:t>il s’agit</w:t>
      </w:r>
      <w:r>
        <w:rPr>
          <w:rFonts w:ascii="Times New Roman" w:hAnsi="Times New Roman" w:cs="Times New Roman"/>
          <w:sz w:val="24"/>
        </w:rPr>
        <w:t xml:space="preserve"> </w:t>
      </w:r>
      <w:r w:rsidR="00A94CB1">
        <w:rPr>
          <w:rFonts w:ascii="Times New Roman" w:hAnsi="Times New Roman" w:cs="Times New Roman"/>
          <w:sz w:val="24"/>
        </w:rPr>
        <w:t>d’</w:t>
      </w:r>
      <w:r>
        <w:rPr>
          <w:rFonts w:ascii="Times New Roman" w:hAnsi="Times New Roman" w:cs="Times New Roman"/>
          <w:sz w:val="24"/>
        </w:rPr>
        <w:t>élèves de prestigieux lycées parisiens qui, même en grave délicatesse avec les mathématiques sont en filière S, plutôt que</w:t>
      </w:r>
      <w:r w:rsidR="00A04FAD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banlieusard</w:t>
      </w:r>
      <w:r w:rsidR="00A04FA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précocement </w:t>
      </w:r>
      <w:r w:rsidR="00A04FAD">
        <w:rPr>
          <w:rFonts w:ascii="Times New Roman" w:hAnsi="Times New Roman" w:cs="Times New Roman"/>
          <w:sz w:val="24"/>
        </w:rPr>
        <w:t>orientés en lycée professionnel</w:t>
      </w:r>
      <w:r>
        <w:rPr>
          <w:rFonts w:ascii="Times New Roman" w:hAnsi="Times New Roman" w:cs="Times New Roman"/>
          <w:sz w:val="24"/>
        </w:rPr>
        <w:t>.</w:t>
      </w:r>
      <w:r w:rsidR="00A94CB1">
        <w:rPr>
          <w:rFonts w:ascii="Times New Roman" w:hAnsi="Times New Roman" w:cs="Times New Roman"/>
          <w:sz w:val="24"/>
        </w:rPr>
        <w:t xml:space="preserve"> Ce fait limite en particulier la portée de la quatrième partie, « Le temps retrouvé des mathématiques ». Face aux difficultés de leurs enfants, les familles populaires se résignent plus vite et l’institution  « les oriente » sans attendre plusieurs années de rééducation psychopédagogique. </w:t>
      </w:r>
      <w:r w:rsidR="009E79A9">
        <w:rPr>
          <w:rFonts w:ascii="Times New Roman" w:hAnsi="Times New Roman" w:cs="Times New Roman"/>
          <w:sz w:val="24"/>
        </w:rPr>
        <w:t>Surtout, la large place suggérée pour les apprentissages informels est sans doute plus efficace lorsque l’environnement social et familial de l’enfant est en connivence avec les attentes scolaires.</w:t>
      </w:r>
    </w:p>
    <w:sectPr w:rsidR="009E79A9" w:rsidRPr="00EF49EC" w:rsidSect="007C121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5F4A" w14:textId="77777777" w:rsidR="00266E6A" w:rsidRDefault="00266E6A" w:rsidP="009A6D3E">
      <w:pPr>
        <w:spacing w:after="0" w:line="240" w:lineRule="auto"/>
      </w:pPr>
      <w:r>
        <w:separator/>
      </w:r>
    </w:p>
  </w:endnote>
  <w:endnote w:type="continuationSeparator" w:id="0">
    <w:p w14:paraId="77E62D9C" w14:textId="77777777" w:rsidR="00266E6A" w:rsidRDefault="00266E6A" w:rsidP="009A6D3E">
      <w:pPr>
        <w:spacing w:after="0" w:line="240" w:lineRule="auto"/>
      </w:pPr>
      <w:r>
        <w:continuationSeparator/>
      </w:r>
    </w:p>
  </w:endnote>
  <w:endnote w:id="1">
    <w:p w14:paraId="2552BAA7" w14:textId="77777777" w:rsidR="009A6D3E" w:rsidRPr="00FE19C7" w:rsidRDefault="009A6D3E">
      <w:pPr>
        <w:pStyle w:val="Notedefin"/>
      </w:pPr>
      <w:r>
        <w:rPr>
          <w:rStyle w:val="Marquedenotedefin"/>
        </w:rPr>
        <w:endnoteRef/>
      </w:r>
      <w:r>
        <w:t xml:space="preserve"> Anne SIETY cite à plusieurs reprises </w:t>
      </w:r>
      <w:r>
        <w:rPr>
          <w:i/>
        </w:rPr>
        <w:t>Chagrin d’école</w:t>
      </w:r>
      <w:r>
        <w:t xml:space="preserve">, de Daniel Pennac, on pourrait, en ce qui concerne la lecture, citer </w:t>
      </w:r>
      <w:r w:rsidR="00FE19C7">
        <w:rPr>
          <w:i/>
        </w:rPr>
        <w:t>Comme un roman</w:t>
      </w:r>
      <w:r w:rsidR="00FE19C7">
        <w:t xml:space="preserve">, dont le premier </w:t>
      </w:r>
      <w:r w:rsidR="0027044E">
        <w:t>« </w:t>
      </w:r>
      <w:r w:rsidR="00FE19C7">
        <w:t>droit imprescriptible du lecteur</w:t>
      </w:r>
      <w:r w:rsidR="0027044E">
        <w:t> »</w:t>
      </w:r>
      <w:r w:rsidR="00FE19C7">
        <w:t xml:space="preserve"> est celui de ne pas lire… </w:t>
      </w:r>
    </w:p>
  </w:endnote>
  <w:endnote w:id="2">
    <w:p w14:paraId="71CF66F7" w14:textId="77777777" w:rsidR="00A05C14" w:rsidRPr="00A05C14" w:rsidRDefault="00A05C14">
      <w:pPr>
        <w:pStyle w:val="Notedefin"/>
      </w:pPr>
      <w:r w:rsidRPr="00A05C14">
        <w:rPr>
          <w:rStyle w:val="Marquedenotedefin"/>
        </w:rPr>
        <w:endnoteRef/>
      </w:r>
      <w:r w:rsidRPr="00A05C14">
        <w:t xml:space="preserve"> </w:t>
      </w:r>
      <w:r w:rsidRPr="00A05C14">
        <w:rPr>
          <w:rFonts w:eastAsia="Times New Roman" w:cs="Times New Roman"/>
          <w:lang w:eastAsia="fr-FR"/>
        </w:rPr>
        <w:t xml:space="preserve">BONNÉRY Stéphane – </w:t>
      </w:r>
      <w:r w:rsidRPr="00A05C14">
        <w:rPr>
          <w:rFonts w:eastAsia="Times New Roman" w:cs="Times New Roman"/>
          <w:b/>
          <w:bCs/>
          <w:i/>
          <w:iCs/>
          <w:lang w:eastAsia="fr-FR"/>
        </w:rPr>
        <w:t xml:space="preserve">Comprendre l’échec scolaire  </w:t>
      </w:r>
      <w:r w:rsidRPr="00A05C14">
        <w:rPr>
          <w:rFonts w:eastAsia="Times New Roman" w:cs="Times New Roman"/>
          <w:i/>
          <w:iCs/>
          <w:lang w:eastAsia="fr-FR"/>
        </w:rPr>
        <w:t>– Élèves en difficultés et dispositifs pédagogiques</w:t>
      </w:r>
      <w:r w:rsidRPr="00A05C14">
        <w:rPr>
          <w:rFonts w:eastAsia="Times New Roman" w:cs="Times New Roman"/>
          <w:lang w:eastAsia="fr-FR"/>
        </w:rPr>
        <w:t xml:space="preserve"> – éditions La Dispute 2007</w:t>
      </w:r>
      <w:r>
        <w:rPr>
          <w:rFonts w:eastAsia="Times New Roman" w:cs="Times New Roman"/>
          <w:lang w:eastAsia="fr-FR"/>
        </w:rPr>
        <w:t xml:space="preserve"> (une note de lecture se trouve dans la Lettre de l’AFEF de juillet 2014)</w:t>
      </w:r>
    </w:p>
  </w:endnote>
  <w:endnote w:id="3">
    <w:p w14:paraId="3CAE1934" w14:textId="77777777" w:rsidR="00D759DE" w:rsidRPr="00D759DE" w:rsidRDefault="00D759DE">
      <w:pPr>
        <w:pStyle w:val="Notedefin"/>
      </w:pPr>
      <w:r>
        <w:rPr>
          <w:rStyle w:val="Marquedenotedefin"/>
        </w:rPr>
        <w:endnoteRef/>
      </w:r>
      <w:r>
        <w:t xml:space="preserve"> Titre et problématique du n°174 de la revue </w:t>
      </w:r>
      <w:r>
        <w:rPr>
          <w:i/>
        </w:rPr>
        <w:t xml:space="preserve">Le Français aujourd’hui, </w:t>
      </w:r>
      <w:r>
        <w:t xml:space="preserve">coordonné par Bénédicte Etienne et Annie </w:t>
      </w:r>
      <w:proofErr w:type="spellStart"/>
      <w:r>
        <w:t>Portelette</w:t>
      </w:r>
      <w:proofErr w:type="spellEnd"/>
      <w:r>
        <w:t>.</w:t>
      </w:r>
    </w:p>
  </w:endnote>
  <w:endnote w:id="4">
    <w:p w14:paraId="7E09A2F3" w14:textId="77777777" w:rsidR="00EF49EC" w:rsidRPr="00EF49EC" w:rsidRDefault="00EF49EC">
      <w:pPr>
        <w:pStyle w:val="Notedefin"/>
        <w:rPr>
          <w:i/>
        </w:rPr>
      </w:pPr>
      <w:r>
        <w:rPr>
          <w:rStyle w:val="Marquedenotedefin"/>
        </w:rPr>
        <w:endnoteRef/>
      </w:r>
      <w:r>
        <w:t xml:space="preserve"> BOIMARE Serge, </w:t>
      </w:r>
      <w:r>
        <w:rPr>
          <w:i/>
        </w:rPr>
        <w:t>L’enfant et la peur d’apprendre ©</w:t>
      </w:r>
      <w:proofErr w:type="spellStart"/>
      <w:r>
        <w:t>Dunod</w:t>
      </w:r>
      <w:proofErr w:type="spellEnd"/>
      <w:r>
        <w:t xml:space="preserve">, 1999 et </w:t>
      </w:r>
      <w:r>
        <w:rPr>
          <w:i/>
        </w:rPr>
        <w:t>Ces enfants empêchés de penser ©</w:t>
      </w:r>
      <w:proofErr w:type="spellStart"/>
      <w:r>
        <w:t>Dunod</w:t>
      </w:r>
      <w:proofErr w:type="spellEnd"/>
      <w:r>
        <w:t>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3C97" w14:textId="77777777" w:rsidR="00266E6A" w:rsidRDefault="00266E6A" w:rsidP="009A6D3E">
      <w:pPr>
        <w:spacing w:after="0" w:line="240" w:lineRule="auto"/>
      </w:pPr>
      <w:r>
        <w:separator/>
      </w:r>
    </w:p>
  </w:footnote>
  <w:footnote w:type="continuationSeparator" w:id="0">
    <w:p w14:paraId="6BD51DFF" w14:textId="77777777" w:rsidR="00266E6A" w:rsidRDefault="00266E6A" w:rsidP="009A6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6"/>
    <w:rsid w:val="00023FE5"/>
    <w:rsid w:val="00123927"/>
    <w:rsid w:val="001D20A0"/>
    <w:rsid w:val="00266E6A"/>
    <w:rsid w:val="0027044E"/>
    <w:rsid w:val="00287044"/>
    <w:rsid w:val="002B0AE2"/>
    <w:rsid w:val="00304846"/>
    <w:rsid w:val="00396BC7"/>
    <w:rsid w:val="003D0DB6"/>
    <w:rsid w:val="003F7A69"/>
    <w:rsid w:val="0043122A"/>
    <w:rsid w:val="004B1556"/>
    <w:rsid w:val="004B5F4B"/>
    <w:rsid w:val="006372B1"/>
    <w:rsid w:val="00655875"/>
    <w:rsid w:val="007904B2"/>
    <w:rsid w:val="00790C89"/>
    <w:rsid w:val="007C1217"/>
    <w:rsid w:val="00815E0D"/>
    <w:rsid w:val="009321B0"/>
    <w:rsid w:val="009A6D3E"/>
    <w:rsid w:val="009E1450"/>
    <w:rsid w:val="009E7447"/>
    <w:rsid w:val="009E7462"/>
    <w:rsid w:val="009E79A9"/>
    <w:rsid w:val="00A04FAD"/>
    <w:rsid w:val="00A05C14"/>
    <w:rsid w:val="00A94CB1"/>
    <w:rsid w:val="00B10751"/>
    <w:rsid w:val="00B65FC3"/>
    <w:rsid w:val="00B94FAB"/>
    <w:rsid w:val="00BC2066"/>
    <w:rsid w:val="00BD092F"/>
    <w:rsid w:val="00C00F68"/>
    <w:rsid w:val="00C22196"/>
    <w:rsid w:val="00CE4F07"/>
    <w:rsid w:val="00D759DE"/>
    <w:rsid w:val="00EC7F85"/>
    <w:rsid w:val="00EF49EC"/>
    <w:rsid w:val="00F6599F"/>
    <w:rsid w:val="00FE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F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9A6D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A6D3E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A6D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FAB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321B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1B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1B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1B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1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9A6D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A6D3E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A6D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FAB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321B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1B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1B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1B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7E4B-05CE-804D-AD52-F237132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1144</Words>
  <Characters>6294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Gran' Ma</dc:creator>
  <cp:lastModifiedBy>Viviane Youx</cp:lastModifiedBy>
  <cp:revision>3</cp:revision>
  <dcterms:created xsi:type="dcterms:W3CDTF">2014-08-26T09:55:00Z</dcterms:created>
  <dcterms:modified xsi:type="dcterms:W3CDTF">2014-08-27T04:58:00Z</dcterms:modified>
</cp:coreProperties>
</file>